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76"/>
        <w:rPr>
          <w:rFonts w:ascii="Arial" w:hAnsi="Arial"/>
        </w:rPr>
      </w:pPr>
      <w:r>
        <w:rPr>
          <w:rFonts w:ascii="Arial" w:hAnsi="Arial"/>
        </w:rPr>
        <w:t>Exp n.º 2898/2025</w:t>
      </w:r>
    </w:p>
    <w:p>
      <w:pPr>
        <w:pStyle w:val="Standard"/>
        <w:spacing w:lineRule="auto" w:line="276"/>
        <w:rPr>
          <w:rFonts w:ascii="Arial" w:hAnsi="Arial"/>
          <w:b/>
          <w:bCs/>
        </w:rPr>
      </w:pPr>
      <w:r>
        <w:rPr>
          <w:rFonts w:ascii="Arial" w:hAnsi="Arial"/>
        </w:rPr>
        <w:t>Asunto. Presupuesto municipal 2026</w:t>
      </w:r>
      <w:r>
        <w:rPr>
          <w:rFonts w:ascii="Arial" w:hAnsi="Arial"/>
          <w:b/>
          <w:bCs/>
        </w:rPr>
        <w:t>.</w:t>
      </w:r>
    </w:p>
    <w:p>
      <w:pPr>
        <w:pStyle w:val="Standard"/>
        <w:spacing w:lineRule="auto" w:line="276"/>
        <w:rPr>
          <w:rFonts w:ascii="Arial" w:hAnsi="Arial"/>
          <w:b/>
          <w:bCs/>
        </w:rPr>
      </w:pPr>
      <w:r>
        <w:rPr>
          <w:rFonts w:ascii="Arial" w:hAnsi="Arial"/>
          <w:b/>
          <w:bCs/>
        </w:rPr>
      </w:r>
    </w:p>
    <w:p>
      <w:pPr>
        <w:pStyle w:val="Standard"/>
        <w:spacing w:lineRule="auto" w:line="276"/>
        <w:jc w:val="center"/>
        <w:rPr>
          <w:rFonts w:ascii="Arial" w:hAnsi="Arial"/>
          <w:b/>
          <w:bCs/>
        </w:rPr>
      </w:pPr>
      <w:r>
        <w:rPr>
          <w:rFonts w:ascii="Arial" w:hAnsi="Arial"/>
          <w:b/>
          <w:bCs/>
        </w:rPr>
      </w:r>
    </w:p>
    <w:p>
      <w:pPr>
        <w:pStyle w:val="Standard"/>
        <w:spacing w:lineRule="auto" w:line="276"/>
        <w:jc w:val="center"/>
        <w:rPr>
          <w:rFonts w:ascii="Arial" w:hAnsi="Arial"/>
          <w:b/>
          <w:bCs/>
        </w:rPr>
      </w:pPr>
      <w:r>
        <w:rPr>
          <w:rFonts w:ascii="Arial" w:hAnsi="Arial"/>
          <w:b/>
          <w:bCs/>
        </w:rPr>
        <w:t>INFORME DE INTERVENCIÓN</w:t>
      </w:r>
    </w:p>
    <w:p>
      <w:pPr>
        <w:pStyle w:val="Standard"/>
        <w:spacing w:lineRule="auto" w:line="276"/>
        <w:jc w:val="center"/>
        <w:rPr>
          <w:rFonts w:ascii="Arial" w:hAnsi="Arial"/>
          <w:b/>
          <w:bCs/>
        </w:rPr>
      </w:pPr>
      <w:r>
        <w:rPr>
          <w:rFonts w:ascii="Arial" w:hAnsi="Arial"/>
          <w:b/>
          <w:bCs/>
        </w:rPr>
      </w:r>
    </w:p>
    <w:p>
      <w:pPr>
        <w:pStyle w:val="PlainText"/>
        <w:jc w:val="center"/>
        <w:rPr>
          <w:rFonts w:ascii="Arial" w:hAnsi="Arial" w:eastAsia="MS Mincho" w:cs="Calibri"/>
          <w:b/>
          <w:bCs/>
        </w:rPr>
      </w:pPr>
      <w:r>
        <w:rPr>
          <w:rFonts w:eastAsia="MS Mincho" w:cs="Calibri" w:ascii="Arial" w:hAnsi="Arial"/>
          <w:b/>
          <w:bCs/>
        </w:rPr>
        <w:t>CUMPLIMIENTO DE LOS OBJETIVOS DE ESTABILIDAD PRESUPUESTARIA EN LA APROBACIÓN DEL PRESUPUESTO 2026.</w:t>
      </w:r>
    </w:p>
    <w:p>
      <w:pPr>
        <w:pStyle w:val="PlainText"/>
        <w:jc w:val="center"/>
        <w:rPr>
          <w:rFonts w:ascii="Arial" w:hAnsi="Arial" w:eastAsia="MS Mincho" w:cs="Calibri"/>
          <w:b/>
          <w:bCs/>
        </w:rPr>
      </w:pPr>
      <w:r>
        <w:rPr>
          <w:rFonts w:eastAsia="MS Mincho" w:cs="Calibri" w:ascii="Arial" w:hAnsi="Arial"/>
          <w:b/>
          <w:bCs/>
        </w:rPr>
      </w:r>
    </w:p>
    <w:p>
      <w:pPr>
        <w:pStyle w:val="PlainText"/>
        <w:jc w:val="center"/>
        <w:rPr>
          <w:rFonts w:ascii="Arial" w:hAnsi="Arial" w:eastAsia="MS Mincho" w:cs="Calibri"/>
          <w:b/>
        </w:rPr>
      </w:pPr>
      <w:r>
        <w:rPr>
          <w:rFonts w:eastAsia="MS Mincho" w:cs="Calibri" w:ascii="Arial" w:hAnsi="Arial"/>
          <w:b/>
        </w:rPr>
      </w:r>
    </w:p>
    <w:p>
      <w:pPr>
        <w:pStyle w:val="Standard"/>
        <w:spacing w:lineRule="auto" w:line="276"/>
        <w:jc w:val="both"/>
        <w:rPr>
          <w:rFonts w:ascii="Arial" w:hAnsi="Arial"/>
        </w:rPr>
      </w:pPr>
      <w:r>
        <w:rPr>
          <w:rFonts w:ascii="Arial" w:hAnsi="Arial"/>
        </w:rPr>
        <w:t>Lara Díaz Trillo, Interventora del Ayuntamiento de la Villa de Firgas, en cumplimiento de lo dispuesto en el artículo 168.4 del Real Decreto Legislativo 2/2004, de 5 de marzo, por el que se aprueba el Texto Refundido de la Ley Reguladora de Haciendas Locales, el artículo 18.4 del Real Decreto 500/1990, de 20 de abril, y el artículo 4.1.b).2º del Real Decreto 128/2018, de 16 de marzo, por el que se regula el régimen jurídico de los funcionarios de Administración Local con Habilitación de Carácter Nacional, tiene el deber de emitir el siguiente</w:t>
      </w:r>
    </w:p>
    <w:p>
      <w:pPr>
        <w:pStyle w:val="Standard"/>
        <w:spacing w:lineRule="auto" w:line="276"/>
        <w:jc w:val="both"/>
        <w:rPr>
          <w:rFonts w:ascii="Arial" w:hAnsi="Arial"/>
        </w:rPr>
      </w:pPr>
      <w:r>
        <w:rPr>
          <w:rFonts w:ascii="Arial" w:hAnsi="Arial"/>
        </w:rPr>
      </w:r>
    </w:p>
    <w:p>
      <w:pPr>
        <w:pStyle w:val="Standard"/>
        <w:spacing w:lineRule="auto" w:line="276"/>
        <w:jc w:val="center"/>
        <w:rPr>
          <w:rFonts w:ascii="Arial" w:hAnsi="Arial"/>
          <w:b/>
          <w:bCs/>
        </w:rPr>
      </w:pPr>
      <w:r>
        <w:rPr>
          <w:rFonts w:ascii="Arial" w:hAnsi="Arial"/>
          <w:b/>
          <w:bCs/>
        </w:rPr>
        <w:t>INFORME</w:t>
      </w:r>
    </w:p>
    <w:p>
      <w:pPr>
        <w:pStyle w:val="Standard"/>
        <w:spacing w:lineRule="auto" w:line="276"/>
        <w:jc w:val="both"/>
        <w:rPr>
          <w:rFonts w:ascii="Arial" w:hAnsi="Arial"/>
        </w:rPr>
      </w:pPr>
      <w:r>
        <w:rPr>
          <w:rFonts w:ascii="Arial" w:hAnsi="Arial"/>
        </w:rPr>
      </w:r>
    </w:p>
    <w:p>
      <w:pPr>
        <w:pStyle w:val="Standard"/>
        <w:spacing w:lineRule="auto" w:line="276"/>
        <w:jc w:val="both"/>
        <w:rPr>
          <w:rFonts w:ascii="Arial" w:hAnsi="Arial"/>
        </w:rPr>
      </w:pPr>
      <w:r>
        <w:rPr>
          <w:rFonts w:cs="Calibri" w:ascii="Arial" w:hAnsi="Arial"/>
        </w:rPr>
        <w:t>Sobre el cumplimiento, o no, de los objetivos de estabilidad presupuestaria en la aprobación del Presupuesto General para el ejercicio del año 2026, formado por la Alcaldía-Presidencia de este Ayuntamiento, para someterlo a la aprobación del Pleno.</w:t>
      </w:r>
    </w:p>
    <w:p>
      <w:pPr>
        <w:pStyle w:val="PlainText"/>
        <w:jc w:val="center"/>
        <w:rPr>
          <w:rFonts w:ascii="Arial" w:hAnsi="Arial" w:eastAsia="MS Mincho" w:cs="Calibri"/>
          <w:b/>
        </w:rPr>
      </w:pPr>
      <w:r>
        <w:rPr>
          <w:rFonts w:eastAsia="MS Mincho" w:cs="Calibri" w:ascii="Arial" w:hAnsi="Arial"/>
          <w:b/>
        </w:rPr>
      </w:r>
    </w:p>
    <w:p>
      <w:pPr>
        <w:pStyle w:val="PlainText"/>
        <w:jc w:val="center"/>
        <w:rPr>
          <w:rFonts w:ascii="Arial" w:hAnsi="Arial" w:eastAsia="MS Mincho" w:cs="Calibri"/>
        </w:rPr>
      </w:pPr>
      <w:r>
        <w:rPr>
          <w:rFonts w:eastAsia="MS Mincho" w:cs="Calibri" w:ascii="Arial" w:hAnsi="Arial"/>
        </w:rPr>
      </w:r>
    </w:p>
    <w:p>
      <w:pPr>
        <w:pStyle w:val="PlainText"/>
        <w:jc w:val="center"/>
        <w:rPr>
          <w:rFonts w:ascii="Arial" w:hAnsi="Arial" w:eastAsia="MS Mincho" w:cs="Calibri"/>
          <w:b/>
          <w:caps/>
        </w:rPr>
      </w:pPr>
      <w:r>
        <w:rPr>
          <w:rFonts w:eastAsia="MS Mincho" w:cs="Calibri" w:ascii="Arial" w:hAnsi="Arial"/>
          <w:b/>
          <w:caps/>
        </w:rPr>
        <w:t>FUNDAMENTOS JURÍDICOS</w:t>
      </w:r>
    </w:p>
    <w:p>
      <w:pPr>
        <w:pStyle w:val="PlainText"/>
        <w:rPr>
          <w:rFonts w:ascii="Arial" w:hAnsi="Arial" w:eastAsia="MS Mincho" w:cs="Calibri"/>
          <w:b/>
        </w:rPr>
      </w:pPr>
      <w:r>
        <w:rPr>
          <w:rFonts w:eastAsia="MS Mincho" w:cs="Calibri" w:ascii="Arial" w:hAnsi="Arial"/>
          <w:b/>
        </w:rPr>
      </w:r>
    </w:p>
    <w:p>
      <w:pPr>
        <w:pStyle w:val="PlainText"/>
        <w:numPr>
          <w:ilvl w:val="0"/>
          <w:numId w:val="2"/>
        </w:numPr>
        <w:spacing w:lineRule="auto" w:line="276"/>
        <w:jc w:val="both"/>
        <w:rPr>
          <w:rFonts w:ascii="Arial" w:hAnsi="Arial" w:eastAsia="MS Mincho" w:cs="Calibri"/>
        </w:rPr>
      </w:pPr>
      <w:r>
        <w:rPr>
          <w:rFonts w:eastAsia="MS Mincho" w:cs="Calibri" w:ascii="Arial" w:hAnsi="Arial"/>
        </w:rPr>
        <w:t>Real Decreto Legislativo 2/2004, de 5 de marzo, por el que se aprueba el Texto Refundido de la Ley Reguladora de las Haciendas Locales (TRLRHL).</w:t>
      </w:r>
    </w:p>
    <w:p>
      <w:pPr>
        <w:pStyle w:val="PlainText"/>
        <w:numPr>
          <w:ilvl w:val="0"/>
          <w:numId w:val="29"/>
        </w:numPr>
        <w:spacing w:lineRule="auto" w:line="276"/>
        <w:jc w:val="both"/>
        <w:rPr>
          <w:rFonts w:ascii="Arial" w:hAnsi="Arial" w:eastAsia="MS Mincho" w:cs="Calibri"/>
        </w:rPr>
      </w:pPr>
      <w:r>
        <w:rPr>
          <w:rFonts w:eastAsia="MS Mincho" w:cs="Calibri" w:ascii="Arial" w:hAnsi="Arial"/>
        </w:rPr>
        <w:t>Real Decreto 500/1990, de 20 de abril que desarrolla la Ley 39/1988, de 28 de diciembre, en materia presupuestaria.</w:t>
      </w:r>
    </w:p>
    <w:p>
      <w:pPr>
        <w:pStyle w:val="PlainText"/>
        <w:numPr>
          <w:ilvl w:val="0"/>
          <w:numId w:val="30"/>
        </w:numPr>
        <w:spacing w:lineRule="auto" w:line="276"/>
        <w:jc w:val="both"/>
        <w:rPr>
          <w:rFonts w:ascii="Arial" w:hAnsi="Arial" w:eastAsia="MS Mincho" w:cs="Calibri"/>
        </w:rPr>
      </w:pPr>
      <w:r>
        <w:rPr>
          <w:rFonts w:eastAsia="MS Mincho" w:cs="Calibri" w:ascii="Arial" w:hAnsi="Arial"/>
        </w:rPr>
        <w:t>Real Decreto 128/2018, de 16 de marzo, por el que se regula el Régimen jurídico de los funcionarios de Administración Local con habilitación de carácter nacional.</w:t>
      </w:r>
    </w:p>
    <w:p>
      <w:pPr>
        <w:pStyle w:val="PlainText"/>
        <w:numPr>
          <w:ilvl w:val="0"/>
          <w:numId w:val="31"/>
        </w:numPr>
        <w:spacing w:lineRule="auto" w:line="276"/>
        <w:jc w:val="both"/>
        <w:rPr>
          <w:rFonts w:ascii="Arial" w:hAnsi="Arial" w:cs="Calibri"/>
          <w:iCs/>
        </w:rPr>
      </w:pPr>
      <w:r>
        <w:rPr>
          <w:rFonts w:cs="Calibri" w:ascii="Arial" w:hAnsi="Arial"/>
          <w:iCs/>
        </w:rPr>
        <w:t>Orden EHA/3565/2008, de 3 de diciembre, por la que se aprueba la nueva estructura de los presupuestos de las entidades locales, modificada por la Orden HAP/419/2014, de 14 de marzo.</w:t>
      </w:r>
    </w:p>
    <w:p>
      <w:pPr>
        <w:pStyle w:val="Standard"/>
        <w:numPr>
          <w:ilvl w:val="0"/>
          <w:numId w:val="32"/>
        </w:numPr>
        <w:spacing w:lineRule="auto" w:line="276"/>
        <w:jc w:val="both"/>
        <w:rPr>
          <w:rFonts w:ascii="Arial" w:hAnsi="Arial" w:cs="Calibri"/>
          <w:iCs/>
        </w:rPr>
      </w:pPr>
      <w:r>
        <w:rPr>
          <w:rFonts w:cs="Calibri" w:ascii="Arial" w:hAnsi="Arial"/>
          <w:iCs/>
        </w:rPr>
        <w:t>Orden HAP/1781/2013, de 20 de septiembre, por la que se aprueba la Instrucción del modelo normal de Contabilidad Local (ICAL), en vigor a partir del 1 de enero de 2015.</w:t>
      </w:r>
    </w:p>
    <w:p>
      <w:pPr>
        <w:pStyle w:val="Standard"/>
        <w:numPr>
          <w:ilvl w:val="0"/>
          <w:numId w:val="33"/>
        </w:numPr>
        <w:spacing w:lineRule="auto" w:line="276"/>
        <w:jc w:val="both"/>
        <w:rPr>
          <w:rFonts w:ascii="Arial" w:hAnsi="Arial" w:cs="Calibri"/>
        </w:rPr>
      </w:pPr>
      <w:r>
        <w:rPr>
          <w:rFonts w:cs="Calibri" w:ascii="Arial" w:hAnsi="Arial"/>
        </w:rPr>
        <w:t>Ley Orgánica 2/2012, de 27 de abril, de Estabilidad Presupuestaria y Sostenibilidad Financiera (LOEPSF).</w:t>
      </w:r>
    </w:p>
    <w:p>
      <w:pPr>
        <w:pStyle w:val="PlainText"/>
        <w:numPr>
          <w:ilvl w:val="0"/>
          <w:numId w:val="34"/>
        </w:numPr>
        <w:spacing w:lineRule="auto" w:line="276"/>
        <w:jc w:val="both"/>
        <w:rPr>
          <w:rFonts w:ascii="Arial" w:hAnsi="Arial" w:eastAsia="MS Mincho" w:cs="Calibri"/>
        </w:rPr>
      </w:pPr>
      <w:r>
        <w:rPr>
          <w:rFonts w:eastAsia="MS Mincho" w:cs="Calibri" w:ascii="Arial" w:hAnsi="Arial"/>
        </w:rPr>
        <w:t>Real Decreto 1463/2007, de 2 de noviembre, por el que se aprueba el reglamento de desarrollo de la Ley 18/2001, de 12 de diciembre, de Estabilidad Presupuestaria, en su aplicación a las entidades locales.</w:t>
      </w:r>
    </w:p>
    <w:p>
      <w:pPr>
        <w:pStyle w:val="PlainText"/>
        <w:numPr>
          <w:ilvl w:val="0"/>
          <w:numId w:val="35"/>
        </w:numPr>
        <w:spacing w:lineRule="auto" w:line="276"/>
        <w:jc w:val="both"/>
        <w:rPr>
          <w:rFonts w:ascii="Arial" w:hAnsi="Arial"/>
        </w:rPr>
      </w:pPr>
      <w:r>
        <w:rPr>
          <w:rFonts w:cs="Calibri" w:ascii="Arial" w:hAnsi="Arial"/>
        </w:rPr>
        <w:t xml:space="preserve">Orden HAP/2105/2012, de 1 de octubre, por la que se desarrollan las obligaciones de suministro de información previstas en la Ley Orgánica 2/2012, de 27 de abril, de Estabilidad Presupuestaria y Sostenibilidad Financiera, modificada por la Orden </w:t>
      </w:r>
      <w:r>
        <w:rPr>
          <w:rFonts w:cs="Calibri" w:ascii="Arial" w:hAnsi="Arial"/>
          <w:iCs/>
        </w:rPr>
        <w:t>HAP/2082/2014.</w:t>
      </w:r>
    </w:p>
    <w:p>
      <w:pPr>
        <w:pStyle w:val="PlainText"/>
        <w:numPr>
          <w:ilvl w:val="0"/>
          <w:numId w:val="36"/>
        </w:numPr>
        <w:spacing w:lineRule="auto" w:line="276"/>
        <w:jc w:val="both"/>
        <w:rPr>
          <w:rFonts w:ascii="Arial" w:hAnsi="Arial" w:cs="Calibri"/>
        </w:rPr>
      </w:pPr>
      <w:r>
        <w:rPr>
          <w:rFonts w:cs="Calibri" w:ascii="Arial" w:hAnsi="Arial"/>
        </w:rPr>
        <w:t>Real Decreto-ley 8/2010, de 20 de mayo, por el que se adoptan medidas extraordinarias para la reducción del déficit público.</w:t>
      </w:r>
    </w:p>
    <w:p>
      <w:pPr>
        <w:pStyle w:val="PlainText"/>
        <w:numPr>
          <w:ilvl w:val="0"/>
          <w:numId w:val="37"/>
        </w:numPr>
        <w:spacing w:lineRule="auto" w:line="276"/>
        <w:jc w:val="both"/>
        <w:rPr>
          <w:rFonts w:ascii="Arial" w:hAnsi="Arial" w:eastAsia="MS Mincho" w:cs="Calibri"/>
        </w:rPr>
      </w:pPr>
      <w:r>
        <w:rPr>
          <w:rFonts w:eastAsia="MS Mincho" w:cs="Calibri" w:ascii="Arial" w:hAnsi="Arial"/>
        </w:rPr>
        <w:t>Ley 2/2011, de 4 de marzo, de Economía Sostenible.</w:t>
      </w:r>
    </w:p>
    <w:p>
      <w:pPr>
        <w:pStyle w:val="PlainText"/>
        <w:numPr>
          <w:ilvl w:val="0"/>
          <w:numId w:val="38"/>
        </w:numPr>
        <w:spacing w:lineRule="auto" w:line="276"/>
        <w:jc w:val="both"/>
        <w:rPr>
          <w:rFonts w:ascii="Arial" w:hAnsi="Arial" w:cs="Calibri"/>
          <w:iCs/>
        </w:rPr>
      </w:pPr>
      <w:r>
        <w:rPr>
          <w:rFonts w:cs="Calibri" w:ascii="Arial" w:hAnsi="Arial"/>
          <w:iCs/>
        </w:rPr>
        <w:t>Real Decreto-ley 20/2011, de 30 de diciembre, de medidas urgentes en materia presupuestaria, tributaria y financiera para la corrección del déficit público.</w:t>
      </w:r>
    </w:p>
    <w:p>
      <w:pPr>
        <w:pStyle w:val="Standard"/>
        <w:numPr>
          <w:ilvl w:val="0"/>
          <w:numId w:val="39"/>
        </w:numPr>
        <w:spacing w:lineRule="auto" w:line="276"/>
        <w:jc w:val="both"/>
        <w:rPr>
          <w:rFonts w:ascii="Arial" w:hAnsi="Arial"/>
        </w:rPr>
      </w:pPr>
      <w:r>
        <w:rPr>
          <w:rFonts w:cs="Calibri" w:ascii="Arial" w:hAnsi="Arial"/>
          <w:iCs/>
        </w:rPr>
        <w:t>Real Decreto-ley 20/2012, de 13 de julio, de medidas para garantizar la estabilidad presupuestaria y el fomento de la competitividad.</w:t>
      </w:r>
    </w:p>
    <w:p>
      <w:pPr>
        <w:pStyle w:val="PlainText"/>
        <w:numPr>
          <w:ilvl w:val="0"/>
          <w:numId w:val="40"/>
        </w:numPr>
        <w:spacing w:lineRule="auto" w:line="276"/>
        <w:jc w:val="both"/>
        <w:rPr>
          <w:rFonts w:ascii="Arial" w:hAnsi="Arial" w:eastAsia="MS Mincho" w:cs="Calibri"/>
        </w:rPr>
      </w:pPr>
      <w:r>
        <w:rPr>
          <w:rFonts w:eastAsia="MS Mincho" w:cs="Calibri" w:ascii="Arial" w:hAnsi="Arial"/>
        </w:rPr>
        <w:t>Ley Orgánica 9/2013, de 20 de diciembre, de control de la deuda del sector público (LCDSP).</w:t>
      </w:r>
    </w:p>
    <w:p>
      <w:pPr>
        <w:pStyle w:val="PlainText"/>
        <w:numPr>
          <w:ilvl w:val="0"/>
          <w:numId w:val="41"/>
        </w:numPr>
        <w:spacing w:lineRule="auto" w:line="276"/>
        <w:jc w:val="both"/>
        <w:rPr>
          <w:rFonts w:ascii="Arial" w:hAnsi="Arial" w:eastAsia="MS Mincho" w:cs="Calibri"/>
        </w:rPr>
      </w:pPr>
      <w:r>
        <w:rPr>
          <w:rFonts w:eastAsia="MS Mincho" w:cs="Calibri" w:ascii="Arial" w:hAnsi="Arial"/>
        </w:rPr>
        <w:t>Ley 27/2013, de 27 de diciembre, de Racionalización y Sostenibilidad de la Administración Local (LRSAL).</w:t>
      </w:r>
    </w:p>
    <w:p>
      <w:pPr>
        <w:pStyle w:val="PlainText"/>
        <w:numPr>
          <w:ilvl w:val="0"/>
          <w:numId w:val="42"/>
        </w:numPr>
        <w:spacing w:lineRule="auto" w:line="276"/>
        <w:jc w:val="both"/>
        <w:rPr>
          <w:rFonts w:ascii="Arial" w:hAnsi="Arial" w:cs="Calibri"/>
          <w:iCs/>
        </w:rPr>
      </w:pPr>
      <w:r>
        <w:rPr>
          <w:rFonts w:cs="Calibri" w:ascii="Arial" w:hAnsi="Arial"/>
          <w:iCs/>
        </w:rPr>
        <w:t>Real Decreto 1040/2017, de 22 de diciembre, por el que se desarrolla la metodología de cálculo del periodo medio de pago a proveedores de las Administraciones Públicas y las condiciones y el procedimiento de retención de recursos de los regímenes de financiación, previstos en la Ley Orgánica 2/2012, de 27 de abril, de Estabilidad Presupuestaria y Sostenibilidad Financiera.</w:t>
      </w:r>
    </w:p>
    <w:p>
      <w:pPr>
        <w:pStyle w:val="PlainText"/>
        <w:spacing w:lineRule="auto" w:line="276"/>
        <w:jc w:val="both"/>
        <w:rPr>
          <w:rFonts w:ascii="Arial" w:hAnsi="Arial" w:eastAsia="MS Mincho" w:cs="Calibri"/>
          <w:b/>
        </w:rPr>
      </w:pPr>
      <w:r>
        <w:rPr>
          <w:rFonts w:eastAsia="MS Mincho" w:cs="Calibri" w:ascii="Arial" w:hAnsi="Arial"/>
          <w:b/>
        </w:rPr>
      </w:r>
    </w:p>
    <w:p>
      <w:pPr>
        <w:pStyle w:val="PlainText"/>
        <w:spacing w:lineRule="auto" w:line="276"/>
        <w:jc w:val="both"/>
        <w:rPr>
          <w:rFonts w:ascii="Arial" w:hAnsi="Arial"/>
        </w:rPr>
      </w:pPr>
      <w:r>
        <w:rPr>
          <w:rFonts w:eastAsia="MS Mincho" w:cs="Calibri" w:ascii="Arial" w:hAnsi="Arial"/>
          <w:b/>
        </w:rPr>
        <w:t xml:space="preserve">PRIMERO.- </w:t>
      </w:r>
      <w:r>
        <w:rPr>
          <w:rFonts w:eastAsia="MS Mincho" w:cs="Calibri" w:ascii="Arial" w:hAnsi="Arial"/>
        </w:rPr>
        <w:t xml:space="preserve">En cumplimiento estricto de lo previsto en la </w:t>
      </w:r>
      <w:r>
        <w:rPr>
          <w:rFonts w:cs="Calibri" w:ascii="Arial" w:hAnsi="Arial"/>
        </w:rPr>
        <w:t>Orden HAP/2105/2012, s</w:t>
      </w:r>
      <w:r>
        <w:rPr>
          <w:rFonts w:eastAsia="MS Mincho" w:cs="Calibri" w:ascii="Arial" w:hAnsi="Arial"/>
        </w:rPr>
        <w:t>e emite este informe de forma independiente con objeto de evaluar el cumplimiento del objetivo de estabilidad presupuestaria en el presupuesto del ejercicio 2026 para el Ayuntamiento de la Villa de Firgas.</w:t>
      </w:r>
    </w:p>
    <w:p>
      <w:pPr>
        <w:pStyle w:val="PlainText"/>
        <w:ind w:left="720" w:hanging="0"/>
        <w:jc w:val="both"/>
        <w:rPr>
          <w:rFonts w:ascii="Arial" w:hAnsi="Arial" w:eastAsia="MS Mincho" w:cs="Calibri"/>
          <w:shd w:fill="FFFF00" w:val="clear"/>
        </w:rPr>
      </w:pPr>
      <w:r>
        <w:rPr>
          <w:rFonts w:eastAsia="MS Mincho" w:cs="Calibri" w:ascii="Arial" w:hAnsi="Arial"/>
          <w:shd w:fill="FFFF00" w:val="clear"/>
        </w:rPr>
      </w:r>
    </w:p>
    <w:p>
      <w:pPr>
        <w:pStyle w:val="PlainText"/>
        <w:ind w:left="720" w:hanging="0"/>
        <w:jc w:val="both"/>
        <w:rPr>
          <w:rFonts w:ascii="Arial" w:hAnsi="Arial" w:eastAsia="MS Mincho" w:cs="Calibri"/>
          <w:shd w:fill="FFFF00" w:val="clear"/>
        </w:rPr>
      </w:pPr>
      <w:r>
        <w:rPr>
          <w:rFonts w:eastAsia="MS Mincho" w:cs="Calibri" w:ascii="Arial" w:hAnsi="Arial"/>
          <w:shd w:fill="FFFF00" w:val="clear"/>
        </w:rPr>
      </w:r>
    </w:p>
    <w:p>
      <w:pPr>
        <w:pStyle w:val="PlainText"/>
        <w:spacing w:lineRule="auto" w:line="276"/>
        <w:jc w:val="both"/>
        <w:rPr>
          <w:rFonts w:ascii="Arial" w:hAnsi="Arial"/>
        </w:rPr>
      </w:pPr>
      <w:r>
        <w:rPr>
          <w:rFonts w:eastAsia="MS Mincho" w:cs="Calibri" w:ascii="Arial" w:hAnsi="Arial"/>
          <w:b/>
        </w:rPr>
        <w:t xml:space="preserve">SEGUNDO.- </w:t>
      </w:r>
      <w:r>
        <w:rPr>
          <w:rFonts w:eastAsia="MS Mincho" w:cs="Calibri" w:ascii="Arial" w:hAnsi="Arial"/>
        </w:rPr>
        <w:t>Tras la aprobación de la LOEPSF y en el marco del actual contexto económico nacional y mundial, el mantenimiento de la estabilidad presupuestaria se ha convertido en objetivo prioritario para todas las administraciones públicas.</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both"/>
        <w:rPr>
          <w:rFonts w:ascii="Arial" w:hAnsi="Arial" w:eastAsia="MS Mincho" w:cs="Calibri"/>
        </w:rPr>
      </w:pPr>
      <w:r>
        <w:rPr>
          <w:rFonts w:eastAsia="MS Mincho" w:cs="Calibri" w:ascii="Arial" w:hAnsi="Arial"/>
        </w:rPr>
        <w:t>En sus artículos 11 a 13, la citada norma regula los tres principios que deben cumplirse en la aprobación, ejecución y liquidación de los presupuestos:</w:t>
      </w:r>
    </w:p>
    <w:p>
      <w:pPr>
        <w:pStyle w:val="PlainText"/>
        <w:numPr>
          <w:ilvl w:val="0"/>
          <w:numId w:val="3"/>
        </w:numPr>
        <w:spacing w:lineRule="auto" w:line="276"/>
        <w:jc w:val="both"/>
        <w:rPr>
          <w:rFonts w:ascii="Arial" w:hAnsi="Arial" w:eastAsia="MS Mincho" w:cs="Calibri"/>
        </w:rPr>
      </w:pPr>
      <w:r>
        <w:rPr>
          <w:rFonts w:eastAsia="MS Mincho" w:cs="Calibri" w:ascii="Arial" w:hAnsi="Arial"/>
        </w:rPr>
        <w:t>Estabilidad Presupuestaria.</w:t>
      </w:r>
    </w:p>
    <w:p>
      <w:pPr>
        <w:pStyle w:val="PlainText"/>
        <w:numPr>
          <w:ilvl w:val="0"/>
          <w:numId w:val="43"/>
        </w:numPr>
        <w:spacing w:lineRule="auto" w:line="276"/>
        <w:jc w:val="both"/>
        <w:rPr>
          <w:rFonts w:ascii="Arial" w:hAnsi="Arial" w:eastAsia="MS Mincho" w:cs="Calibri"/>
        </w:rPr>
      </w:pPr>
      <w:r>
        <w:rPr>
          <w:rFonts w:eastAsia="MS Mincho" w:cs="Calibri" w:ascii="Arial" w:hAnsi="Arial"/>
        </w:rPr>
        <w:t>Regla del Gasto.</w:t>
      </w:r>
    </w:p>
    <w:p>
      <w:pPr>
        <w:pStyle w:val="PlainText"/>
        <w:numPr>
          <w:ilvl w:val="0"/>
          <w:numId w:val="44"/>
        </w:numPr>
        <w:spacing w:lineRule="auto" w:line="276"/>
        <w:jc w:val="both"/>
        <w:rPr>
          <w:rFonts w:ascii="Arial" w:hAnsi="Arial" w:eastAsia="MS Mincho" w:cs="Calibri"/>
        </w:rPr>
      </w:pPr>
      <w:r>
        <w:rPr>
          <w:rFonts w:eastAsia="MS Mincho" w:cs="Calibri" w:ascii="Arial" w:hAnsi="Arial"/>
        </w:rPr>
        <w:t>Sostenibilidad financiera.</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both"/>
        <w:rPr>
          <w:rFonts w:ascii="Arial" w:hAnsi="Arial"/>
        </w:rPr>
      </w:pPr>
      <w:r>
        <w:rPr>
          <w:rFonts w:eastAsia="MS Mincho" w:cs="Calibri" w:ascii="Arial" w:hAnsi="Arial"/>
          <w:b/>
          <w:bCs/>
        </w:rPr>
        <w:t>TERCERO</w:t>
      </w:r>
      <w:r>
        <w:rPr>
          <w:rFonts w:eastAsia="MS Mincho" w:cs="Calibri" w:ascii="Arial" w:hAnsi="Arial"/>
        </w:rPr>
        <w:t xml:space="preserve">.- </w:t>
      </w:r>
      <w:r>
        <w:rPr>
          <w:rFonts w:eastAsia="MS Mincho" w:cs="Calibri" w:ascii="Arial" w:hAnsi="Arial"/>
          <w:b/>
          <w:bCs/>
        </w:rPr>
        <w:t>PLAN ECONÓMICO-FINANCIERO</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both"/>
        <w:rPr/>
      </w:pPr>
      <w:r>
        <w:rPr>
          <w:rFonts w:eastAsia="MS Mincho" w:cs="Calibri" w:ascii="Arial" w:hAnsi="Arial"/>
        </w:rPr>
        <w:t>En la actualidad, debido al incumplimiento de la regla de gasto en la liquidación del presupuesto de 2024, se encuentra aprobado un Plan Económico-Financiero (Cód. Validación: F35XQ3MLEYKGQSE7KKHREARLZ) para los ejercicios 2025 y 2026, por lo que el presupuesto que se presenta deberá ajustarse a las medidas aprobadas en aquél.</w:t>
      </w:r>
    </w:p>
    <w:p>
      <w:pPr>
        <w:pStyle w:val="PlainText"/>
        <w:spacing w:lineRule="auto" w:line="276"/>
        <w:rPr>
          <w:rFonts w:ascii="Arial" w:hAnsi="Arial" w:eastAsia="MS Mincho" w:cs="Calibri"/>
        </w:rPr>
      </w:pPr>
      <w:r>
        <w:rPr>
          <w:rFonts w:eastAsia="MS Mincho" w:cs="Calibri" w:ascii="Arial" w:hAnsi="Arial"/>
        </w:rPr>
      </w:r>
    </w:p>
    <w:p>
      <w:pPr>
        <w:pStyle w:val="Standard"/>
        <w:spacing w:lineRule="auto" w:line="276" w:before="240" w:after="240"/>
        <w:jc w:val="both"/>
        <w:rPr>
          <w:rFonts w:ascii="Arial" w:hAnsi="Arial"/>
        </w:rPr>
      </w:pPr>
      <w:r>
        <w:rPr>
          <w:rFonts w:eastAsia="Verdana" w:cs="Verdana" w:ascii="Arial" w:hAnsi="Arial"/>
          <w:b/>
          <w:bCs/>
        </w:rPr>
        <w:t>CUARTO.-</w:t>
      </w:r>
      <w:r>
        <w:rPr>
          <w:rFonts w:eastAsia="Verdana" w:cs="Verdana" w:ascii="Arial" w:hAnsi="Arial"/>
        </w:rPr>
        <w:t xml:space="preserve"> </w:t>
      </w:r>
      <w:r>
        <w:rPr>
          <w:rFonts w:eastAsia="Verdana" w:cs="Verdana" w:ascii="Arial" w:hAnsi="Arial"/>
          <w:b/>
          <w:bCs/>
        </w:rPr>
        <w:t>PERÍMETRO DE CONSOLIDACIÓN.</w:t>
      </w:r>
    </w:p>
    <w:p>
      <w:pPr>
        <w:pStyle w:val="Standard"/>
        <w:spacing w:lineRule="auto" w:line="276" w:before="240" w:after="240"/>
        <w:jc w:val="both"/>
        <w:rPr>
          <w:rFonts w:ascii="Arial" w:hAnsi="Arial"/>
        </w:rPr>
      </w:pPr>
      <w:r>
        <w:rPr>
          <w:rFonts w:eastAsia="Verdana" w:cs="Verdana" w:ascii="Arial" w:hAnsi="Arial"/>
        </w:rPr>
        <w:t>El perímetro de consolidación de esta Municipio está formado por el propio Ayuntamiento y la sociedad municipal con capital íntegro municipal, denominada AFURGAD S.A.</w:t>
      </w:r>
    </w:p>
    <w:p>
      <w:pPr>
        <w:pStyle w:val="PlainText"/>
        <w:spacing w:lineRule="auto" w:line="276"/>
        <w:jc w:val="both"/>
        <w:rPr>
          <w:rFonts w:ascii="Arial" w:hAnsi="Arial" w:eastAsia="MS Mincho" w:cs="Calibri"/>
          <w:b/>
        </w:rPr>
      </w:pPr>
      <w:r>
        <w:rPr>
          <w:rFonts w:eastAsia="MS Mincho" w:cs="Calibri" w:ascii="Arial" w:hAnsi="Arial"/>
          <w:b/>
        </w:rPr>
      </w:r>
    </w:p>
    <w:p>
      <w:pPr>
        <w:pStyle w:val="PlainText"/>
        <w:spacing w:lineRule="auto" w:line="276"/>
        <w:jc w:val="both"/>
        <w:rPr>
          <w:rFonts w:ascii="Arial" w:hAnsi="Arial"/>
        </w:rPr>
      </w:pPr>
      <w:r>
        <w:rPr>
          <w:rFonts w:eastAsia="MS Mincho" w:cs="Calibri" w:ascii="Arial" w:hAnsi="Arial"/>
          <w:b/>
        </w:rPr>
        <w:t>QUINTO.- PRINCIPIO DE ESTABILIDAD PRESUPUESTARIA.</w:t>
      </w:r>
    </w:p>
    <w:p>
      <w:pPr>
        <w:pStyle w:val="PlainText"/>
        <w:spacing w:lineRule="auto" w:line="276"/>
        <w:jc w:val="both"/>
        <w:rPr>
          <w:rFonts w:ascii="Arial" w:hAnsi="Arial" w:eastAsia="MS Mincho" w:cs="Calibri"/>
          <w:b/>
        </w:rPr>
      </w:pPr>
      <w:r>
        <w:rPr>
          <w:rFonts w:eastAsia="MS Mincho" w:cs="Calibri" w:ascii="Arial" w:hAnsi="Arial"/>
          <w:b/>
        </w:rPr>
      </w:r>
    </w:p>
    <w:p>
      <w:pPr>
        <w:pStyle w:val="PlainText"/>
        <w:spacing w:lineRule="auto" w:line="276"/>
        <w:jc w:val="both"/>
        <w:rPr>
          <w:rFonts w:ascii="Arial" w:hAnsi="Arial" w:eastAsia="MS Mincho" w:cs="Calibri"/>
        </w:rPr>
      </w:pPr>
      <w:r>
        <w:rPr>
          <w:rFonts w:eastAsia="MS Mincho" w:cs="Calibri" w:ascii="Arial" w:hAnsi="Arial"/>
        </w:rPr>
        <w:t xml:space="preserve">El principio de estabilidad presupuestaria, conforme al artículo 4 del RD 1463/2007, debe cumplirse tanto en la aprobación del presupuesto inicial, como en su ejecución y liquidación. Así, el presupuesto ha de estar, no sólo presupuestariamente equilibrado, sino, además, financieramente nivelado. </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both"/>
        <w:rPr>
          <w:rFonts w:ascii="Arial" w:hAnsi="Arial" w:eastAsia="MS Mincho" w:cs="Calibri"/>
        </w:rPr>
      </w:pPr>
      <w:r>
        <w:rPr>
          <w:rFonts w:eastAsia="MS Mincho" w:cs="Calibri" w:ascii="Arial" w:hAnsi="Arial"/>
        </w:rPr>
        <w:t>Para su valoración hay que calcular la capacidad/necesidad de financiación en términos del Sistema Europeo de Cuentas, identificando el superávit con capacidad de financiación y el déficit con necesidad de la misma. La estabilidad presupuestaria implica que a lo largo del ciclo presupuestario los recursos corrientes y de capital deben ser suficientes para financiar los gastos de la misma naturaleza. En consecuencia, el volumen de deuda no puede aumentar, que como máximo deberá permanecer constante, sea cual sea el crecimiento de los recursos, o la capacidad de la entidad para afrontar la carga financiera de la deuda.</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both"/>
        <w:rPr>
          <w:rFonts w:ascii="Arial" w:hAnsi="Arial"/>
        </w:rPr>
      </w:pPr>
      <w:r>
        <w:rPr>
          <w:rFonts w:eastAsia="MS Mincho" w:cs="Calibri" w:ascii="Arial" w:hAnsi="Arial"/>
        </w:rPr>
        <w:t>El principio de estabilidad presupuestaria se instrumenta partiendo del equilibrio entre ingresos y gastos no financieros (en ambos, Capítulos 1 a 7), que ha de ser ajustados de acuerdo con las normas del Sistema Europeo de Cuentas (SEC).</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both"/>
        <w:rPr>
          <w:rFonts w:ascii="Arial" w:hAnsi="Arial" w:eastAsia="MS Mincho" w:cs="Calibri"/>
        </w:rPr>
      </w:pPr>
      <w:r>
        <w:rPr>
          <w:rFonts w:eastAsia="MS Mincho" w:cs="Calibri" w:ascii="Arial" w:hAnsi="Arial"/>
        </w:rPr>
        <w:t>Para su cálculo, en primer lugar, se estima el gasto no financiero del proyecto de presupuestos. En segundo lugar, se obtienen los ingresos previstos en términos de contabilidad nacional. La diferencia de ambas magnitudes muestra la capacidad o necesidad de financiación.</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both"/>
        <w:rPr>
          <w:rFonts w:ascii="Arial" w:hAnsi="Arial" w:eastAsia="MS Mincho" w:cs="Calibri"/>
        </w:rPr>
      </w:pPr>
      <w:r>
        <w:rPr>
          <w:rFonts w:eastAsia="MS Mincho" w:cs="Calibri" w:ascii="Arial" w:hAnsi="Arial"/>
        </w:rPr>
        <w:t>Según se aprecia en los cuadros siguientes, la diferencia entre los importes presupuestados consolidados en los capítulos 1 a 7 de los estados de ingresos y los capítulos 1 a 7 del estado de gastos, sin realizar ningún ajuste, es nula.</w:t>
      </w:r>
    </w:p>
    <w:p>
      <w:pPr>
        <w:pStyle w:val="PlainText"/>
        <w:spacing w:lineRule="auto" w:line="276"/>
        <w:jc w:val="both"/>
        <w:rPr>
          <w:rFonts w:ascii="Arial" w:hAnsi="Arial" w:eastAsia="MS Mincho" w:cs="Calibri"/>
        </w:rPr>
      </w:pPr>
      <w:r>
        <w:rPr>
          <w:rFonts w:eastAsia="MS Mincho" w:cs="Calibri" w:ascii="Arial" w:hAnsi="Arial"/>
        </w:rPr>
      </w:r>
    </w:p>
    <w:p>
      <w:pPr>
        <w:pStyle w:val="PlainText"/>
        <w:spacing w:lineRule="auto" w:line="276"/>
        <w:jc w:val="center"/>
        <w:rPr>
          <w:rFonts w:ascii="Arial" w:hAnsi="Arial"/>
          <w:b/>
          <w:bCs/>
        </w:rPr>
      </w:pPr>
      <w:r>
        <w:rPr>
          <w:rFonts w:eastAsia="MS Mincho" w:cs="Calibri" w:ascii="Arial" w:hAnsi="Arial"/>
          <w:b/>
          <w:bCs/>
        </w:rPr>
        <w:t>OPERACIONES NO FINANCIERAS</w:t>
      </w:r>
    </w:p>
    <w:p>
      <w:pPr>
        <w:pStyle w:val="Standard"/>
        <w:tabs>
          <w:tab w:val="clear" w:pos="708"/>
          <w:tab w:val="left" w:pos="-720" w:leader="none"/>
        </w:tabs>
        <w:jc w:val="both"/>
        <w:rPr>
          <w:rFonts w:ascii="Arial" w:hAnsi="Arial" w:cs="Calibri"/>
        </w:rPr>
      </w:pPr>
      <w:r>
        <w:rPr>
          <w:rFonts w:cs="Calibri" w:ascii="Arial" w:hAnsi="Arial"/>
        </w:rPr>
      </w:r>
    </w:p>
    <w:tbl>
      <w:tblPr>
        <w:tblW w:w="8960" w:type="dxa"/>
        <w:jc w:val="left"/>
        <w:tblInd w:w="-29" w:type="dxa"/>
        <w:tblLayout w:type="fixed"/>
        <w:tblCellMar>
          <w:top w:w="0" w:type="dxa"/>
          <w:left w:w="108" w:type="dxa"/>
          <w:bottom w:w="0" w:type="dxa"/>
          <w:right w:w="108" w:type="dxa"/>
        </w:tblCellMar>
        <w:tblLook w:firstRow="1" w:noVBand="1" w:lastRow="0" w:firstColumn="1" w:lastColumn="0" w:noHBand="0" w:val="04a0"/>
      </w:tblPr>
      <w:tblGrid>
        <w:gridCol w:w="2014"/>
        <w:gridCol w:w="5053"/>
        <w:gridCol w:w="1893"/>
      </w:tblGrid>
      <w:tr>
        <w:trPr/>
        <w:tc>
          <w:tcPr>
            <w:tcW w:w="8960"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tabs>
                <w:tab w:val="clear" w:pos="708"/>
                <w:tab w:val="left" w:pos="-720" w:leader="none"/>
              </w:tabs>
              <w:jc w:val="center"/>
              <w:rPr>
                <w:rFonts w:ascii="Arial" w:hAnsi="Arial"/>
                <w:color w:val="000000" w:themeColor="text1"/>
              </w:rPr>
            </w:pPr>
            <w:r>
              <w:rPr>
                <w:rFonts w:cs="Calibri" w:ascii="Arial" w:hAnsi="Arial"/>
                <w:b/>
                <w:color w:val="000000" w:themeColor="text1"/>
              </w:rPr>
              <w:t>GASTOS CONSOLIDADOS</w:t>
            </w:r>
          </w:p>
        </w:tc>
      </w:tr>
      <w:tr>
        <w:trPr/>
        <w:tc>
          <w:tcPr>
            <w:tcW w:w="201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tabs>
                <w:tab w:val="clear" w:pos="708"/>
                <w:tab w:val="left" w:pos="-720" w:leader="none"/>
              </w:tabs>
              <w:jc w:val="both"/>
              <w:rPr>
                <w:rFonts w:ascii="Arial" w:hAnsi="Arial" w:cs="Calibri"/>
                <w:b/>
                <w:color w:val="000000" w:themeColor="text1"/>
              </w:rPr>
            </w:pPr>
            <w:r>
              <w:rPr>
                <w:rFonts w:cs="Calibri" w:ascii="Arial" w:hAnsi="Arial"/>
                <w:b/>
                <w:color w:val="000000" w:themeColor="text1"/>
              </w:rPr>
              <w:t>Capítulo</w:t>
            </w:r>
          </w:p>
        </w:tc>
        <w:tc>
          <w:tcPr>
            <w:tcW w:w="505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tabs>
                <w:tab w:val="clear" w:pos="708"/>
                <w:tab w:val="left" w:pos="-720" w:leader="none"/>
              </w:tabs>
              <w:jc w:val="center"/>
              <w:rPr>
                <w:rFonts w:ascii="Arial" w:hAnsi="Arial" w:cs="Calibri"/>
                <w:b/>
                <w:color w:val="000000" w:themeColor="text1"/>
              </w:rPr>
            </w:pPr>
            <w:r>
              <w:rPr>
                <w:rFonts w:cs="Calibri" w:ascii="Arial" w:hAnsi="Arial"/>
                <w:b/>
                <w:color w:val="000000" w:themeColor="text1"/>
              </w:rPr>
              <w:t>Descripción</w:t>
            </w:r>
          </w:p>
        </w:tc>
        <w:tc>
          <w:tcPr>
            <w:tcW w:w="189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tabs>
                <w:tab w:val="clear" w:pos="708"/>
                <w:tab w:val="left" w:pos="-720" w:leader="none"/>
              </w:tabs>
              <w:jc w:val="center"/>
              <w:rPr>
                <w:rFonts w:ascii="Arial" w:hAnsi="Arial" w:cs="Calibri"/>
                <w:b/>
                <w:color w:val="000000" w:themeColor="text1"/>
              </w:rPr>
            </w:pPr>
            <w:r>
              <w:rPr>
                <w:rFonts w:cs="Calibri" w:ascii="Arial" w:hAnsi="Arial"/>
                <w:b/>
                <w:color w:val="000000" w:themeColor="text1"/>
              </w:rPr>
              <w:t>Importe</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Capítulo 1</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Gastos de personal</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rPr>
              <w:t>3.5</w:t>
            </w:r>
            <w:r>
              <w:rPr>
                <w:rFonts w:cs="Calibri" w:ascii="Arial" w:hAnsi="Arial"/>
                <w:color w:val="000000"/>
              </w:rPr>
              <w:t>72.859,37</w:t>
            </w:r>
            <w:r>
              <w:rPr>
                <w:rFonts w:cs="Calibri" w:ascii="Arial" w:hAnsi="Arial"/>
                <w:color w:val="000000"/>
              </w:rPr>
              <w:t xml:space="preserve">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Capítulo 2</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Gastos en bienes corrientes y servicios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rPr>
              <w:t>4.099.359,97 €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Capítulo 3</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Gastos Financieros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rPr>
              <w:t>42.000,00 €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Capítulo 4</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Transferencias corrientes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rPr>
              <w:t>757.710,35 €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themeColor="text1"/>
              </w:rPr>
              <w:t>Capítulo 5</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themeColor="text1"/>
              </w:rPr>
              <w:t>Fondo de Contingencia</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themeColor="text1"/>
              </w:rPr>
              <w:t>0,00 €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themeColor="text1"/>
              </w:rPr>
              <w:t>Capítulo 6</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themeColor="text1"/>
              </w:rPr>
              <w:t>Inversiones reales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themeColor="text1"/>
              </w:rPr>
              <w:t>627.130,72 €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Capítulo 7</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Transferencias de capital</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rPr>
              <w:t>0,00 €</w:t>
            </w:r>
          </w:p>
        </w:tc>
      </w:tr>
      <w:tr>
        <w:trPr/>
        <w:tc>
          <w:tcPr>
            <w:tcW w:w="7067"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tabs>
                <w:tab w:val="clear" w:pos="708"/>
                <w:tab w:val="left" w:pos="-720" w:leader="none"/>
              </w:tabs>
              <w:jc w:val="right"/>
              <w:rPr>
                <w:rFonts w:ascii="Arial" w:hAnsi="Arial" w:cs="Calibri"/>
                <w:b/>
                <w:color w:val="000000" w:themeColor="text1"/>
              </w:rPr>
            </w:pPr>
            <w:r>
              <w:rPr>
                <w:rFonts w:cs="Calibri" w:ascii="Arial" w:hAnsi="Arial"/>
                <w:b/>
                <w:color w:val="000000" w:themeColor="text1"/>
              </w:rPr>
              <w:t>Total Gastos no financieros (1)</w:t>
            </w:r>
          </w:p>
        </w:tc>
        <w:tc>
          <w:tcPr>
            <w:tcW w:w="189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tabs>
                <w:tab w:val="clear" w:pos="708"/>
                <w:tab w:val="left" w:pos="-720" w:leader="none"/>
              </w:tabs>
              <w:jc w:val="right"/>
              <w:rPr>
                <w:rFonts w:ascii="Arial" w:hAnsi="Arial"/>
                <w:color w:val="000000" w:themeColor="text1"/>
              </w:rPr>
            </w:pPr>
            <w:r>
              <w:rPr>
                <w:rFonts w:cs="Calibri" w:ascii="Arial" w:hAnsi="Arial"/>
                <w:b/>
                <w:color w:val="000000" w:themeColor="text1"/>
              </w:rPr>
              <w:t>9.</w:t>
            </w:r>
            <w:r>
              <w:rPr>
                <w:rFonts w:cs="Calibri" w:ascii="Arial" w:hAnsi="Arial"/>
                <w:b/>
                <w:color w:val="000000" w:themeColor="text1"/>
              </w:rPr>
              <w:t>099.060,41</w:t>
            </w:r>
            <w:r>
              <w:rPr>
                <w:rFonts w:cs="Calibri" w:ascii="Arial" w:hAnsi="Arial"/>
                <w:b/>
                <w:color w:val="000000" w:themeColor="text1"/>
              </w:rPr>
              <w:t xml:space="preserve"> €</w:t>
            </w:r>
          </w:p>
        </w:tc>
      </w:tr>
    </w:tbl>
    <w:p>
      <w:pPr>
        <w:pStyle w:val="Standard"/>
        <w:tabs>
          <w:tab w:val="clear" w:pos="708"/>
          <w:tab w:val="left" w:pos="-720" w:leader="none"/>
        </w:tabs>
        <w:jc w:val="both"/>
        <w:rPr>
          <w:rFonts w:ascii="Arial" w:hAnsi="Arial" w:cs="Calibri"/>
          <w:bCs/>
        </w:rPr>
      </w:pPr>
      <w:r>
        <w:rPr>
          <w:rFonts w:cs="Calibri" w:ascii="Arial" w:hAnsi="Arial"/>
          <w:bCs/>
        </w:rPr>
        <w:tab/>
        <w:tab/>
      </w:r>
    </w:p>
    <w:tbl>
      <w:tblPr>
        <w:tblW w:w="8960" w:type="dxa"/>
        <w:jc w:val="left"/>
        <w:tblInd w:w="-29" w:type="dxa"/>
        <w:tblLayout w:type="fixed"/>
        <w:tblCellMar>
          <w:top w:w="0" w:type="dxa"/>
          <w:left w:w="108" w:type="dxa"/>
          <w:bottom w:w="0" w:type="dxa"/>
          <w:right w:w="108" w:type="dxa"/>
        </w:tblCellMar>
        <w:tblLook w:firstRow="1" w:noVBand="1" w:lastRow="0" w:firstColumn="1" w:lastColumn="0" w:noHBand="0" w:val="04a0"/>
      </w:tblPr>
      <w:tblGrid>
        <w:gridCol w:w="2014"/>
        <w:gridCol w:w="5053"/>
        <w:gridCol w:w="1893"/>
      </w:tblGrid>
      <w:tr>
        <w:trPr/>
        <w:tc>
          <w:tcPr>
            <w:tcW w:w="8960"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tabs>
                <w:tab w:val="clear" w:pos="708"/>
                <w:tab w:val="left" w:pos="-720" w:leader="none"/>
              </w:tabs>
              <w:jc w:val="center"/>
              <w:rPr>
                <w:rFonts w:ascii="Arial" w:hAnsi="Arial"/>
                <w:color w:val="000000" w:themeColor="text1"/>
              </w:rPr>
            </w:pPr>
            <w:r>
              <w:rPr>
                <w:rFonts w:cs="Calibri" w:ascii="Arial" w:hAnsi="Arial"/>
                <w:b/>
                <w:color w:val="000000" w:themeColor="text1"/>
              </w:rPr>
              <w:t>INGRESOS CONSOLIDADOS</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
                <w:color w:val="EE0000"/>
              </w:rPr>
            </w:pPr>
            <w:r>
              <w:rPr>
                <w:rFonts w:cs="Calibri" w:ascii="Arial" w:hAnsi="Arial"/>
                <w:b/>
                <w:color w:val="000000" w:themeColor="text1"/>
              </w:rPr>
              <w:t>Capítulo</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center"/>
              <w:rPr>
                <w:rFonts w:ascii="Arial" w:hAnsi="Arial" w:cs="Calibri"/>
                <w:b/>
                <w:color w:val="000000" w:themeColor="text1"/>
              </w:rPr>
            </w:pPr>
            <w:r>
              <w:rPr>
                <w:rFonts w:cs="Calibri" w:ascii="Arial" w:hAnsi="Arial"/>
                <w:b/>
                <w:color w:val="000000" w:themeColor="text1"/>
              </w:rPr>
              <w:t>Descripción</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center"/>
              <w:rPr>
                <w:rFonts w:ascii="Arial" w:hAnsi="Arial" w:cs="Calibri"/>
                <w:b/>
                <w:color w:val="000000" w:themeColor="text1"/>
              </w:rPr>
            </w:pPr>
            <w:r>
              <w:rPr>
                <w:rFonts w:cs="Calibri" w:ascii="Arial" w:hAnsi="Arial"/>
                <w:b/>
                <w:color w:val="000000" w:themeColor="text1"/>
              </w:rPr>
              <w:t>Importe</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Capítulo 1</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Impuestos directos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olor w:val="000000" w:themeColor="text1"/>
              </w:rPr>
            </w:pPr>
            <w:r>
              <w:rPr>
                <w:rFonts w:cs="Calibri" w:ascii="Arial" w:hAnsi="Arial"/>
                <w:color w:val="000000" w:themeColor="text1"/>
              </w:rPr>
              <w:t>1.556.492,86 €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Capítulo 2</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Impuestos indirectos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olor w:val="000000" w:themeColor="text1"/>
              </w:rPr>
            </w:pPr>
            <w:r>
              <w:rPr>
                <w:rFonts w:cs="Calibri" w:ascii="Arial" w:hAnsi="Arial"/>
                <w:color w:val="000000" w:themeColor="text1"/>
              </w:rPr>
              <w:t>53.374,18 €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Capítulo 3</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Tasas, Precios Públicos y otros ingresos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olor w:val="000000" w:themeColor="text1"/>
              </w:rPr>
            </w:pPr>
            <w:r>
              <w:rPr>
                <w:rFonts w:cs="Calibri" w:ascii="Arial" w:hAnsi="Arial"/>
                <w:color w:val="000000" w:themeColor="text1"/>
              </w:rPr>
              <w:t>1.564.323,77 €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Capítulo 4</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color w:val="000000"/>
              </w:rPr>
            </w:pPr>
            <w:r>
              <w:rPr>
                <w:rFonts w:cs="Calibri" w:ascii="Arial" w:hAnsi="Arial"/>
                <w:color w:val="000000"/>
              </w:rPr>
              <w:t>Transferencias corrientes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color w:val="000000"/>
              </w:rPr>
            </w:pPr>
            <w:r>
              <w:rPr>
                <w:rFonts w:cs="Calibri" w:ascii="Arial" w:hAnsi="Arial"/>
                <w:color w:val="000000"/>
              </w:rPr>
              <w:t>5.411.477,12</w:t>
            </w:r>
            <w:r>
              <w:rPr>
                <w:rFonts w:cs="Calibri" w:ascii="Arial" w:hAnsi="Arial"/>
                <w:color w:val="000000"/>
              </w:rPr>
              <w:t xml:space="preserve">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Capítulo 5</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Ingresos Patrimoniales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olor w:val="000000" w:themeColor="text1"/>
              </w:rPr>
            </w:pPr>
            <w:r>
              <w:rPr>
                <w:rFonts w:cs="Calibri" w:ascii="Arial" w:hAnsi="Arial"/>
                <w:color w:val="000000" w:themeColor="text1"/>
              </w:rPr>
              <w:t>282.182,21 €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Capítulo 6</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Enajenación de Inversiones reales</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s="Calibri"/>
                <w:color w:val="000000" w:themeColor="text1"/>
              </w:rPr>
            </w:pPr>
            <w:r>
              <w:rPr>
                <w:rFonts w:cs="Calibri" w:ascii="Arial" w:hAnsi="Arial"/>
                <w:color w:val="000000" w:themeColor="text1"/>
              </w:rPr>
              <w:t>0,00 €</w:t>
            </w:r>
          </w:p>
        </w:tc>
      </w:tr>
      <w:tr>
        <w:trPr/>
        <w:tc>
          <w:tcPr>
            <w:tcW w:w="201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Capítulo 7</w:t>
            </w:r>
          </w:p>
        </w:tc>
        <w:tc>
          <w:tcPr>
            <w:tcW w:w="505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color w:val="000000" w:themeColor="text1"/>
              </w:rPr>
            </w:pPr>
            <w:r>
              <w:rPr>
                <w:rFonts w:cs="Calibri" w:ascii="Arial" w:hAnsi="Arial"/>
                <w:color w:val="000000" w:themeColor="text1"/>
              </w:rPr>
              <w:t>Transferencias de capital</w:t>
            </w:r>
          </w:p>
        </w:tc>
        <w:tc>
          <w:tcPr>
            <w:tcW w:w="18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olor w:val="000000" w:themeColor="text1"/>
              </w:rPr>
            </w:pPr>
            <w:r>
              <w:rPr>
                <w:rFonts w:cs="Calibri" w:ascii="Arial" w:hAnsi="Arial"/>
                <w:color w:val="000000" w:themeColor="text1"/>
              </w:rPr>
              <w:t>231.210,27 €</w:t>
            </w:r>
          </w:p>
        </w:tc>
      </w:tr>
      <w:tr>
        <w:trPr/>
        <w:tc>
          <w:tcPr>
            <w:tcW w:w="7067"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tabs>
                <w:tab w:val="clear" w:pos="708"/>
                <w:tab w:val="left" w:pos="-720" w:leader="none"/>
              </w:tabs>
              <w:jc w:val="right"/>
              <w:rPr>
                <w:rFonts w:ascii="Arial" w:hAnsi="Arial" w:cs="Calibri"/>
                <w:b/>
                <w:color w:val="000000" w:themeColor="text1"/>
              </w:rPr>
            </w:pPr>
            <w:r>
              <w:rPr>
                <w:rFonts w:cs="Calibri" w:ascii="Arial" w:hAnsi="Arial"/>
                <w:b/>
                <w:color w:val="000000" w:themeColor="text1"/>
              </w:rPr>
              <w:t>Total Ingresos No Financieros (2)</w:t>
            </w:r>
          </w:p>
        </w:tc>
        <w:tc>
          <w:tcPr>
            <w:tcW w:w="1893" w:type="dxa"/>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tabs>
                <w:tab w:val="clear" w:pos="708"/>
                <w:tab w:val="left" w:pos="-720" w:leader="none"/>
              </w:tabs>
              <w:jc w:val="right"/>
              <w:rPr>
                <w:rFonts w:ascii="Arial" w:hAnsi="Arial"/>
                <w:color w:val="000000" w:themeColor="text1"/>
              </w:rPr>
            </w:pPr>
            <w:r>
              <w:rPr>
                <w:rFonts w:cs="Calibri" w:ascii="Arial" w:hAnsi="Arial"/>
                <w:b/>
                <w:color w:val="000000" w:themeColor="text1"/>
              </w:rPr>
              <w:t>9.</w:t>
            </w:r>
            <w:r>
              <w:rPr>
                <w:rFonts w:cs="Calibri" w:ascii="Arial" w:hAnsi="Arial"/>
                <w:b/>
                <w:color w:val="000000" w:themeColor="text1"/>
              </w:rPr>
              <w:t>099.060,41</w:t>
            </w:r>
            <w:r>
              <w:rPr>
                <w:rFonts w:cs="Calibri" w:ascii="Arial" w:hAnsi="Arial"/>
                <w:b/>
                <w:color w:val="000000" w:themeColor="text1"/>
              </w:rPr>
              <w:t xml:space="preserve"> €</w:t>
            </w:r>
          </w:p>
        </w:tc>
      </w:tr>
      <w:tr>
        <w:trPr/>
        <w:tc>
          <w:tcPr>
            <w:tcW w:w="7067" w:type="dxa"/>
            <w:gridSpan w:val="2"/>
            <w:tcBorders>
              <w:top w:val="single" w:sz="4" w:space="0" w:color="000000"/>
              <w:left w:val="single" w:sz="4" w:space="0" w:color="000000"/>
              <w:bottom w:val="single" w:sz="4" w:space="0" w:color="000000"/>
              <w:right w:val="single" w:sz="4" w:space="0" w:color="000000"/>
            </w:tcBorders>
            <w:shd w:color="auto" w:fill="CCCCCC" w:val="clear"/>
          </w:tcPr>
          <w:p>
            <w:pPr>
              <w:pStyle w:val="Standard"/>
              <w:widowControl w:val="false"/>
              <w:tabs>
                <w:tab w:val="clear" w:pos="708"/>
                <w:tab w:val="left" w:pos="-720" w:leader="none"/>
                <w:tab w:val="center" w:pos="4252" w:leader="none"/>
                <w:tab w:val="right" w:pos="8504" w:leader="none"/>
              </w:tabs>
              <w:jc w:val="both"/>
              <w:rPr>
                <w:rFonts w:ascii="Arial" w:hAnsi="Arial" w:cs="Calibri"/>
                <w:b/>
                <w:bCs/>
                <w:color w:val="000000" w:themeColor="text1"/>
                <w:sz w:val="16"/>
                <w:szCs w:val="16"/>
              </w:rPr>
            </w:pPr>
            <w:r>
              <w:rPr>
                <w:rFonts w:cs="Calibri" w:ascii="Arial" w:hAnsi="Arial"/>
                <w:b/>
                <w:bCs/>
                <w:color w:val="000000" w:themeColor="text1"/>
                <w:sz w:val="16"/>
                <w:szCs w:val="16"/>
              </w:rPr>
              <w:t>ESTABILIDAD (+) O INESTABILIDAD (-) PRESUPUESTARIA SIN AJUSTAR (3)=  (2) – (1)</w:t>
            </w:r>
          </w:p>
        </w:tc>
        <w:tc>
          <w:tcPr>
            <w:tcW w:w="1893" w:type="dxa"/>
            <w:tcBorders>
              <w:top w:val="single" w:sz="4" w:space="0" w:color="000000"/>
              <w:left w:val="single" w:sz="4" w:space="0" w:color="000000"/>
              <w:bottom w:val="single" w:sz="4" w:space="0" w:color="000000"/>
              <w:right w:val="single" w:sz="4" w:space="0" w:color="000000"/>
            </w:tcBorders>
            <w:shd w:color="auto" w:fill="CCCCCC" w:val="clear"/>
          </w:tcPr>
          <w:p>
            <w:pPr>
              <w:pStyle w:val="Standard"/>
              <w:widowControl w:val="false"/>
              <w:tabs>
                <w:tab w:val="clear" w:pos="708"/>
                <w:tab w:val="left" w:pos="-720" w:leader="none"/>
                <w:tab w:val="center" w:pos="4252" w:leader="none"/>
                <w:tab w:val="right" w:pos="8504" w:leader="none"/>
              </w:tabs>
              <w:jc w:val="right"/>
              <w:rPr>
                <w:rFonts w:ascii="Arial" w:hAnsi="Arial" w:cs="Calibri"/>
                <w:b/>
                <w:bCs/>
                <w:color w:val="000000" w:themeColor="text1"/>
              </w:rPr>
            </w:pPr>
            <w:r>
              <w:rPr>
                <w:rFonts w:cs="Calibri" w:ascii="Arial" w:hAnsi="Arial"/>
                <w:b/>
                <w:bCs/>
                <w:color w:val="000000" w:themeColor="text1"/>
              </w:rPr>
              <w:t>0,00 €</w:t>
            </w:r>
          </w:p>
        </w:tc>
      </w:tr>
    </w:tbl>
    <w:p>
      <w:pPr>
        <w:pStyle w:val="Standard"/>
        <w:tabs>
          <w:tab w:val="clear" w:pos="708"/>
          <w:tab w:val="left" w:pos="-720" w:leader="none"/>
        </w:tabs>
        <w:jc w:val="both"/>
        <w:rPr>
          <w:rFonts w:ascii="Arial" w:hAnsi="Arial" w:cs="Calibri"/>
          <w:bCs/>
        </w:rPr>
      </w:pPr>
      <w:r>
        <w:rPr/>
      </w:r>
    </w:p>
    <w:p>
      <w:pPr>
        <w:pStyle w:val="Standard"/>
        <w:tabs>
          <w:tab w:val="clear" w:pos="708"/>
          <w:tab w:val="left" w:pos="-720" w:leader="none"/>
        </w:tabs>
        <w:jc w:val="both"/>
        <w:rPr>
          <w:rFonts w:ascii="Arial" w:hAnsi="Arial" w:cs="Calibri"/>
          <w:b/>
          <w:bCs/>
        </w:rPr>
      </w:pPr>
      <w:r>
        <w:rPr>
          <w:rFonts w:cs="Calibri" w:ascii="Arial" w:hAnsi="Arial"/>
          <w:b/>
          <w:bCs/>
        </w:rPr>
      </w:r>
    </w:p>
    <w:p>
      <w:pPr>
        <w:pStyle w:val="Standard"/>
        <w:tabs>
          <w:tab w:val="clear" w:pos="708"/>
          <w:tab w:val="left" w:pos="-720" w:leader="none"/>
        </w:tabs>
        <w:jc w:val="center"/>
        <w:rPr>
          <w:rFonts w:ascii="Arial" w:hAnsi="Arial" w:cs="Calibri"/>
          <w:b/>
          <w:bCs/>
        </w:rPr>
      </w:pPr>
      <w:r>
        <w:rPr>
          <w:rFonts w:cs="Calibri" w:ascii="Arial" w:hAnsi="Arial"/>
          <w:b/>
          <w:bCs/>
        </w:rPr>
        <w:t>OPERACIONES FINANCIERAS</w:t>
      </w:r>
    </w:p>
    <w:p>
      <w:pPr>
        <w:pStyle w:val="Standard"/>
        <w:tabs>
          <w:tab w:val="clear" w:pos="708"/>
          <w:tab w:val="left" w:pos="-720" w:leader="none"/>
        </w:tabs>
        <w:jc w:val="both"/>
        <w:rPr>
          <w:rFonts w:ascii="Arial" w:hAnsi="Arial" w:cs="Calibri"/>
          <w:b/>
          <w:bCs/>
          <w:u w:val="single"/>
        </w:rPr>
      </w:pPr>
      <w:r>
        <w:rPr>
          <w:rFonts w:cs="Calibri" w:ascii="Arial" w:hAnsi="Arial"/>
          <w:b/>
          <w:bCs/>
          <w:u w:val="single"/>
        </w:rPr>
      </w:r>
    </w:p>
    <w:p>
      <w:pPr>
        <w:pStyle w:val="Standard"/>
        <w:tabs>
          <w:tab w:val="clear" w:pos="708"/>
          <w:tab w:val="left" w:pos="-720" w:leader="none"/>
        </w:tabs>
        <w:jc w:val="both"/>
        <w:rPr>
          <w:rFonts w:ascii="Arial" w:hAnsi="Arial" w:cs="Calibri"/>
          <w:b/>
          <w:bCs/>
        </w:rPr>
      </w:pPr>
      <w:r>
        <w:rPr>
          <w:rFonts w:cs="Calibri" w:ascii="Arial" w:hAnsi="Arial"/>
          <w:b/>
          <w:bCs/>
        </w:rPr>
        <w:t>Estado de Ingresos</w:t>
      </w:r>
    </w:p>
    <w:p>
      <w:pPr>
        <w:pStyle w:val="Standard"/>
        <w:tabs>
          <w:tab w:val="clear" w:pos="708"/>
          <w:tab w:val="left" w:pos="-720" w:leader="none"/>
        </w:tabs>
        <w:jc w:val="both"/>
        <w:rPr>
          <w:rFonts w:ascii="Arial" w:hAnsi="Arial" w:cs="Calibri"/>
          <w:bCs/>
        </w:rPr>
      </w:pPr>
      <w:r>
        <w:rPr>
          <w:rFonts w:cs="Calibri" w:ascii="Arial" w:hAnsi="Arial"/>
          <w:bCs/>
        </w:rPr>
      </w:r>
    </w:p>
    <w:tbl>
      <w:tblPr>
        <w:tblW w:w="875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070"/>
        <w:gridCol w:w="2697"/>
        <w:gridCol w:w="1984"/>
      </w:tblGrid>
      <w:tr>
        <w:trPr/>
        <w:tc>
          <w:tcPr>
            <w:tcW w:w="4070"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Cs/>
              </w:rPr>
            </w:pPr>
            <w:r>
              <w:rPr>
                <w:rFonts w:cs="Calibri" w:ascii="Arial" w:hAnsi="Arial"/>
                <w:bCs/>
              </w:rPr>
              <w:t>Capítulo VIII</w:t>
            </w:r>
          </w:p>
        </w:tc>
        <w:tc>
          <w:tcPr>
            <w:tcW w:w="2697"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rPr>
                <w:rFonts w:ascii="Arial" w:hAnsi="Arial" w:cs="Calibri"/>
                <w:bCs/>
              </w:rPr>
            </w:pPr>
            <w:r>
              <w:rPr>
                <w:rFonts w:cs="Calibri" w:ascii="Arial" w:hAnsi="Arial"/>
                <w:bCs/>
              </w:rPr>
              <w:t>Activos financieros</w:t>
            </w:r>
          </w:p>
        </w:tc>
        <w:tc>
          <w:tcPr>
            <w:tcW w:w="198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rPr>
            </w:pPr>
            <w:r>
              <w:rPr>
                <w:rFonts w:cs="Calibri" w:ascii="Arial" w:hAnsi="Arial"/>
                <w:bCs/>
              </w:rPr>
              <w:t>10.000,00 €</w:t>
            </w:r>
          </w:p>
        </w:tc>
      </w:tr>
      <w:tr>
        <w:trPr/>
        <w:tc>
          <w:tcPr>
            <w:tcW w:w="4070"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Cs/>
              </w:rPr>
            </w:pPr>
            <w:r>
              <w:rPr>
                <w:rFonts w:cs="Calibri" w:ascii="Arial" w:hAnsi="Arial"/>
                <w:bCs/>
              </w:rPr>
              <w:t>Capítulo IX</w:t>
            </w:r>
          </w:p>
        </w:tc>
        <w:tc>
          <w:tcPr>
            <w:tcW w:w="2697"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rPr>
                <w:rFonts w:ascii="Arial" w:hAnsi="Arial" w:cs="Calibri"/>
                <w:bCs/>
              </w:rPr>
            </w:pPr>
            <w:r>
              <w:rPr>
                <w:rFonts w:cs="Calibri" w:ascii="Arial" w:hAnsi="Arial"/>
                <w:bCs/>
              </w:rPr>
              <w:t>Pasivos financieros</w:t>
            </w:r>
          </w:p>
        </w:tc>
        <w:tc>
          <w:tcPr>
            <w:tcW w:w="198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s="Calibri"/>
                <w:bCs/>
              </w:rPr>
            </w:pPr>
            <w:r>
              <w:rPr>
                <w:rFonts w:cs="Calibri" w:ascii="Arial" w:hAnsi="Arial"/>
                <w:bCs/>
              </w:rPr>
              <w:t>0,00 €</w:t>
            </w:r>
          </w:p>
        </w:tc>
      </w:tr>
      <w:tr>
        <w:trPr/>
        <w:tc>
          <w:tcPr>
            <w:tcW w:w="4070"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
                <w:bCs/>
              </w:rPr>
            </w:pPr>
            <w:r>
              <w:rPr>
                <w:rFonts w:cs="Calibri" w:ascii="Arial" w:hAnsi="Arial"/>
                <w:b/>
                <w:bCs/>
              </w:rPr>
              <w:t>INGRESOS FINANCIEROS (VIII + IX)</w:t>
            </w:r>
          </w:p>
        </w:tc>
        <w:tc>
          <w:tcPr>
            <w:tcW w:w="2697"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s="Calibri"/>
                <w:bCs/>
              </w:rPr>
            </w:pPr>
            <w:r>
              <w:rPr>
                <w:rFonts w:cs="Calibri" w:ascii="Arial" w:hAnsi="Arial"/>
                <w:bCs/>
              </w:rPr>
            </w:r>
          </w:p>
        </w:tc>
        <w:tc>
          <w:tcPr>
            <w:tcW w:w="198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rPr>
            </w:pPr>
            <w:r>
              <w:rPr>
                <w:rFonts w:cs="Calibri" w:ascii="Arial" w:hAnsi="Arial"/>
                <w:b/>
                <w:bCs/>
              </w:rPr>
              <w:t>10.000,00 €</w:t>
            </w:r>
          </w:p>
        </w:tc>
      </w:tr>
    </w:tbl>
    <w:p>
      <w:pPr>
        <w:pStyle w:val="Standard"/>
        <w:tabs>
          <w:tab w:val="clear" w:pos="708"/>
          <w:tab w:val="left" w:pos="-720" w:leader="none"/>
        </w:tabs>
        <w:jc w:val="both"/>
        <w:rPr>
          <w:rFonts w:ascii="Arial" w:hAnsi="Arial" w:cs="Calibri"/>
          <w:b/>
          <w:bCs/>
        </w:rPr>
      </w:pPr>
      <w:r>
        <w:rPr>
          <w:rFonts w:cs="Calibri" w:ascii="Arial" w:hAnsi="Arial"/>
          <w:b/>
          <w:bCs/>
        </w:rPr>
      </w:r>
    </w:p>
    <w:p>
      <w:pPr>
        <w:pStyle w:val="Standard"/>
        <w:tabs>
          <w:tab w:val="clear" w:pos="708"/>
          <w:tab w:val="left" w:pos="-720" w:leader="none"/>
        </w:tabs>
        <w:jc w:val="both"/>
        <w:rPr>
          <w:rFonts w:ascii="Arial" w:hAnsi="Arial" w:cs="Calibri"/>
          <w:b/>
          <w:bCs/>
        </w:rPr>
      </w:pPr>
      <w:r>
        <w:rPr>
          <w:rFonts w:cs="Calibri" w:ascii="Arial" w:hAnsi="Arial"/>
          <w:b/>
          <w:bCs/>
        </w:rPr>
        <w:t>Estado de Gastos</w:t>
      </w:r>
    </w:p>
    <w:p>
      <w:pPr>
        <w:pStyle w:val="Standard"/>
        <w:tabs>
          <w:tab w:val="clear" w:pos="708"/>
          <w:tab w:val="left" w:pos="-720" w:leader="none"/>
        </w:tabs>
        <w:jc w:val="both"/>
        <w:rPr>
          <w:rFonts w:ascii="Arial" w:hAnsi="Arial" w:cs="Calibri"/>
          <w:bCs/>
          <w:u w:val="single"/>
        </w:rPr>
      </w:pPr>
      <w:r>
        <w:rPr>
          <w:rFonts w:cs="Calibri" w:ascii="Arial" w:hAnsi="Arial"/>
          <w:bCs/>
          <w:u w:val="single"/>
        </w:rPr>
      </w:r>
    </w:p>
    <w:tbl>
      <w:tblPr>
        <w:tblW w:w="872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077"/>
        <w:gridCol w:w="2693"/>
        <w:gridCol w:w="1951"/>
      </w:tblGrid>
      <w:tr>
        <w:trPr/>
        <w:tc>
          <w:tcPr>
            <w:tcW w:w="4077"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Cs/>
              </w:rPr>
            </w:pPr>
            <w:r>
              <w:rPr>
                <w:rFonts w:cs="Calibri" w:ascii="Arial" w:hAnsi="Arial"/>
                <w:bCs/>
              </w:rPr>
              <w:t>Capítulo VIII</w:t>
            </w:r>
          </w:p>
        </w:tc>
        <w:tc>
          <w:tcPr>
            <w:tcW w:w="26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rPr>
                <w:rFonts w:ascii="Arial" w:hAnsi="Arial" w:cs="Calibri"/>
                <w:bCs/>
              </w:rPr>
            </w:pPr>
            <w:r>
              <w:rPr>
                <w:rFonts w:cs="Calibri" w:ascii="Arial" w:hAnsi="Arial"/>
                <w:bCs/>
              </w:rPr>
              <w:t>Activos financieros</w:t>
            </w:r>
          </w:p>
        </w:tc>
        <w:tc>
          <w:tcPr>
            <w:tcW w:w="195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rPr>
            </w:pPr>
            <w:r>
              <w:rPr>
                <w:rFonts w:cs="Calibri" w:ascii="Arial" w:hAnsi="Arial"/>
                <w:bCs/>
              </w:rPr>
              <w:t>10.000,00 €</w:t>
            </w:r>
          </w:p>
        </w:tc>
      </w:tr>
      <w:tr>
        <w:trPr/>
        <w:tc>
          <w:tcPr>
            <w:tcW w:w="4077"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Cs/>
              </w:rPr>
            </w:pPr>
            <w:r>
              <w:rPr>
                <w:rFonts w:cs="Calibri" w:ascii="Arial" w:hAnsi="Arial"/>
                <w:bCs/>
              </w:rPr>
              <w:t>Capítulo IX</w:t>
            </w:r>
          </w:p>
        </w:tc>
        <w:tc>
          <w:tcPr>
            <w:tcW w:w="26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rPr>
                <w:rFonts w:ascii="Arial" w:hAnsi="Arial" w:cs="Calibri"/>
                <w:bCs/>
              </w:rPr>
            </w:pPr>
            <w:r>
              <w:rPr>
                <w:rFonts w:cs="Calibri" w:ascii="Arial" w:hAnsi="Arial"/>
                <w:bCs/>
              </w:rPr>
              <w:t>Pasivos financieros</w:t>
            </w:r>
          </w:p>
        </w:tc>
        <w:tc>
          <w:tcPr>
            <w:tcW w:w="195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s="Calibri"/>
                <w:bCs/>
              </w:rPr>
            </w:pPr>
            <w:r>
              <w:rPr>
                <w:rFonts w:cs="Calibri" w:ascii="Arial" w:hAnsi="Arial"/>
                <w:bCs/>
              </w:rPr>
              <w:t>0,00 €</w:t>
            </w:r>
          </w:p>
        </w:tc>
      </w:tr>
      <w:tr>
        <w:trPr/>
        <w:tc>
          <w:tcPr>
            <w:tcW w:w="4077"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
                <w:bCs/>
              </w:rPr>
            </w:pPr>
            <w:r>
              <w:rPr>
                <w:rFonts w:cs="Calibri" w:ascii="Arial" w:hAnsi="Arial"/>
                <w:b/>
                <w:bCs/>
              </w:rPr>
              <w:t>GASTOS FINANCIEROS (VIII + IX)</w:t>
            </w:r>
          </w:p>
        </w:tc>
        <w:tc>
          <w:tcPr>
            <w:tcW w:w="2693"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cs="Calibri"/>
                <w:b/>
                <w:bCs/>
              </w:rPr>
            </w:pPr>
            <w:r>
              <w:rPr>
                <w:rFonts w:cs="Calibri" w:ascii="Arial" w:hAnsi="Arial"/>
                <w:b/>
                <w:bCs/>
              </w:rPr>
            </w:r>
          </w:p>
        </w:tc>
        <w:tc>
          <w:tcPr>
            <w:tcW w:w="195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right"/>
              <w:rPr>
                <w:rFonts w:ascii="Arial" w:hAnsi="Arial"/>
              </w:rPr>
            </w:pPr>
            <w:r>
              <w:rPr>
                <w:rFonts w:cs="Calibri" w:ascii="Arial" w:hAnsi="Arial"/>
                <w:b/>
                <w:bCs/>
              </w:rPr>
              <w:t>10.000,00 €</w:t>
            </w:r>
          </w:p>
        </w:tc>
      </w:tr>
    </w:tbl>
    <w:p>
      <w:pPr>
        <w:pStyle w:val="Standard"/>
        <w:tabs>
          <w:tab w:val="clear" w:pos="708"/>
          <w:tab w:val="left" w:pos="-720" w:leader="none"/>
        </w:tabs>
        <w:jc w:val="both"/>
        <w:rPr>
          <w:rFonts w:ascii="Arial" w:hAnsi="Arial" w:cs="Calibri"/>
          <w:bCs/>
          <w:u w:val="single"/>
        </w:rPr>
      </w:pPr>
      <w:r>
        <w:rPr>
          <w:rFonts w:cs="Calibri" w:ascii="Arial" w:hAnsi="Arial"/>
          <w:bCs/>
          <w:u w:val="single"/>
        </w:rPr>
      </w:r>
    </w:p>
    <w:tbl>
      <w:tblPr>
        <w:tblW w:w="87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070"/>
        <w:gridCol w:w="3684"/>
      </w:tblGrid>
      <w:tr>
        <w:trPr/>
        <w:tc>
          <w:tcPr>
            <w:tcW w:w="5070"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s>
              <w:jc w:val="both"/>
              <w:rPr>
                <w:rFonts w:ascii="Arial" w:hAnsi="Arial" w:cs="Calibri"/>
                <w:b/>
                <w:bCs/>
              </w:rPr>
            </w:pPr>
            <w:r>
              <w:rPr>
                <w:rFonts w:cs="Calibri" w:ascii="Arial" w:hAnsi="Arial"/>
                <w:b/>
                <w:bCs/>
              </w:rPr>
              <w:t>RESULTADO OPERACIONES FINANCIERAS</w:t>
            </w:r>
          </w:p>
        </w:tc>
        <w:tc>
          <w:tcPr>
            <w:tcW w:w="3684"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1080" w:leader="none"/>
              </w:tabs>
              <w:ind w:left="1800" w:hanging="0"/>
              <w:jc w:val="right"/>
              <w:rPr>
                <w:rFonts w:ascii="Arial" w:hAnsi="Arial" w:cs="Calibri"/>
                <w:b/>
                <w:bCs/>
                <w:sz w:val="20"/>
                <w:szCs w:val="20"/>
              </w:rPr>
            </w:pPr>
            <w:r>
              <w:rPr>
                <w:rFonts w:cs="Calibri" w:ascii="Arial" w:hAnsi="Arial"/>
                <w:b/>
                <w:bCs/>
                <w:sz w:val="20"/>
                <w:szCs w:val="20"/>
              </w:rPr>
              <w:t>0,00</w:t>
            </w:r>
          </w:p>
        </w:tc>
      </w:tr>
    </w:tbl>
    <w:p>
      <w:pPr>
        <w:pStyle w:val="Standard"/>
        <w:tabs>
          <w:tab w:val="clear" w:pos="708"/>
          <w:tab w:val="left" w:pos="-720" w:leader="none"/>
        </w:tabs>
        <w:jc w:val="both"/>
        <w:rPr>
          <w:rFonts w:ascii="Arial" w:hAnsi="Arial" w:cs="Calibri"/>
          <w:b/>
          <w:bCs/>
        </w:rPr>
      </w:pPr>
      <w:r>
        <w:rPr>
          <w:rFonts w:cs="Calibri" w:ascii="Arial" w:hAnsi="Arial"/>
          <w:b/>
          <w:bCs/>
        </w:rPr>
      </w:r>
    </w:p>
    <w:p>
      <w:pPr>
        <w:pStyle w:val="Standard"/>
        <w:tabs>
          <w:tab w:val="clear" w:pos="708"/>
          <w:tab w:val="left" w:pos="-720" w:leader="none"/>
        </w:tabs>
        <w:jc w:val="both"/>
        <w:rPr>
          <w:rFonts w:ascii="Arial" w:hAnsi="Arial" w:cs="Calibri"/>
          <w:bCs/>
        </w:rPr>
      </w:pPr>
      <w:r>
        <w:rPr>
          <w:rFonts w:cs="Calibri" w:ascii="Arial" w:hAnsi="Arial"/>
          <w:bCs/>
        </w:rPr>
      </w:r>
    </w:p>
    <w:p>
      <w:pPr>
        <w:pStyle w:val="Standard"/>
        <w:tabs>
          <w:tab w:val="clear" w:pos="708"/>
          <w:tab w:val="left" w:pos="-720" w:leader="none"/>
        </w:tabs>
        <w:jc w:val="both"/>
        <w:rPr>
          <w:rFonts w:ascii="Arial" w:hAnsi="Arial"/>
        </w:rPr>
      </w:pPr>
      <w:r>
        <w:rPr>
          <w:rFonts w:ascii="Arial" w:hAnsi="Arial"/>
        </w:rPr>
      </w:r>
    </w:p>
    <w:p>
      <w:pPr>
        <w:pStyle w:val="Standard"/>
        <w:tabs>
          <w:tab w:val="clear" w:pos="708"/>
          <w:tab w:val="left" w:pos="-720" w:leader="none"/>
        </w:tabs>
        <w:jc w:val="center"/>
        <w:rPr>
          <w:rFonts w:ascii="Arial" w:hAnsi="Arial"/>
        </w:rPr>
      </w:pPr>
      <w:r>
        <w:rPr>
          <w:rFonts w:cs="Calibri" w:ascii="Arial" w:hAnsi="Arial"/>
          <w:b/>
          <w:bCs/>
        </w:rPr>
        <w:t>AJUSTES A REALIZAR</w:t>
      </w:r>
    </w:p>
    <w:p>
      <w:pPr>
        <w:pStyle w:val="Standard"/>
        <w:rPr>
          <w:rFonts w:ascii="Arial" w:hAnsi="Arial" w:cs="Calibri"/>
          <w:b/>
          <w:i/>
          <w:i/>
        </w:rPr>
      </w:pPr>
      <w:r>
        <w:rPr>
          <w:rFonts w:cs="Calibri" w:ascii="Arial" w:hAnsi="Arial"/>
          <w:b/>
          <w:i/>
        </w:rPr>
      </w:r>
    </w:p>
    <w:p>
      <w:pPr>
        <w:pStyle w:val="Standard"/>
        <w:ind w:left="708" w:hanging="0"/>
        <w:rPr>
          <w:rFonts w:ascii="Arial" w:hAnsi="Arial"/>
        </w:rPr>
      </w:pPr>
      <w:r>
        <w:rPr>
          <w:rFonts w:cs="Calibri" w:ascii="Arial" w:hAnsi="Arial"/>
          <w:b/>
        </w:rPr>
        <w:t>1) AJUSTES DEL PRESUPUESTO DE INGRESOS.</w:t>
      </w:r>
    </w:p>
    <w:p>
      <w:pPr>
        <w:pStyle w:val="Standard"/>
        <w:rPr>
          <w:rFonts w:ascii="Arial" w:hAnsi="Arial" w:cs="Calibri"/>
        </w:rPr>
      </w:pPr>
      <w:r>
        <w:rPr>
          <w:rFonts w:cs="Calibri" w:ascii="Arial" w:hAnsi="Arial"/>
        </w:rPr>
      </w:r>
    </w:p>
    <w:p>
      <w:pPr>
        <w:pStyle w:val="Standard"/>
        <w:spacing w:lineRule="auto" w:line="276"/>
        <w:jc w:val="both"/>
        <w:rPr>
          <w:rFonts w:ascii="Arial" w:hAnsi="Arial"/>
        </w:rPr>
      </w:pPr>
      <w:r>
        <w:rPr>
          <w:rFonts w:cs="Calibri" w:ascii="Arial" w:hAnsi="Arial"/>
          <w:b/>
          <w:bCs/>
        </w:rPr>
        <w:t>AJUSTE NÚMERO. 1: Capítulos I, II y III del Estado de Ingresos.</w:t>
      </w:r>
      <w:r>
        <w:rPr>
          <w:rFonts w:cs="Calibri" w:ascii="Arial" w:hAnsi="Arial"/>
        </w:rPr>
        <w:t xml:space="preserve"> Siendo el criterio aplicable en la contabilidad nacional el principio de caja, y el que rige la contabilidad presupuestaria el criterio de devengo, se ha de proceder al ajuste pertinente, en base al primero respecto a los ingresos recaudados durante el ejercicio, de ejercicios corriente y cerrados, y los impuestos cedidos de acuerdo con la recaudación en el ejercicio, cualquiera que sea el ejercicio anterior del que proceda.</w:t>
      </w:r>
    </w:p>
    <w:p>
      <w:pPr>
        <w:pStyle w:val="Standard"/>
        <w:spacing w:lineRule="auto" w:line="276"/>
        <w:jc w:val="both"/>
        <w:rPr>
          <w:rFonts w:ascii="Arial" w:hAnsi="Arial" w:cs="Calibri"/>
        </w:rPr>
      </w:pPr>
      <w:r>
        <w:rPr>
          <w:rFonts w:cs="Calibri" w:ascii="Arial" w:hAnsi="Arial"/>
        </w:rPr>
      </w:r>
    </w:p>
    <w:p>
      <w:pPr>
        <w:pStyle w:val="Standard"/>
        <w:spacing w:lineRule="auto" w:line="276"/>
        <w:jc w:val="both"/>
        <w:rPr>
          <w:rFonts w:ascii="Arial" w:hAnsi="Arial" w:cs="Calibri"/>
        </w:rPr>
      </w:pPr>
      <w:r>
        <w:rPr>
          <w:rFonts w:cs="Calibri" w:ascii="Arial" w:hAnsi="Arial"/>
        </w:rPr>
        <w:t xml:space="preserve">Debido a que el importe presupuestado en dichos capítulos debe calcularse conforme a los derechos recaudados (principio de caja), para aplicar este procede ajustar los importes para tomar en consideración la </w:t>
      </w:r>
      <w:r>
        <w:rPr>
          <w:rFonts w:cs="Calibri" w:ascii="Arial" w:hAnsi="Arial"/>
          <w:b/>
          <w:bCs/>
        </w:rPr>
        <w:t>recaudación neta esperada o previsible</w:t>
      </w:r>
      <w:r>
        <w:rPr>
          <w:rFonts w:cs="Calibri" w:ascii="Arial" w:hAnsi="Arial"/>
        </w:rPr>
        <w:t xml:space="preserve">. </w:t>
      </w:r>
    </w:p>
    <w:p>
      <w:pPr>
        <w:pStyle w:val="Standard"/>
        <w:spacing w:lineRule="auto" w:line="276"/>
        <w:jc w:val="both"/>
        <w:rPr>
          <w:rFonts w:ascii="Arial" w:hAnsi="Arial" w:cs="Calibri"/>
        </w:rPr>
      </w:pPr>
      <w:r>
        <w:rPr>
          <w:rFonts w:cs="Calibri" w:ascii="Arial" w:hAnsi="Arial"/>
        </w:rPr>
      </w:r>
    </w:p>
    <w:p>
      <w:pPr>
        <w:pStyle w:val="Standard"/>
        <w:spacing w:lineRule="auto" w:line="276"/>
        <w:jc w:val="both"/>
        <w:rPr>
          <w:rFonts w:ascii="Arial" w:hAnsi="Arial"/>
        </w:rPr>
      </w:pPr>
      <w:r>
        <w:rPr>
          <w:rFonts w:cs="Calibri" w:ascii="Arial" w:hAnsi="Arial"/>
        </w:rPr>
        <w:t xml:space="preserve">Por ello, partiremos del importe estimado de los capítulos I, II y III del presupuesto 2026 al cual ajustará en base al porcentaje estimado de recaudación neta; porcentaje para cuyo cálculo deviene necesario tomar, como mera estimación, el porcentaje de derechos recaudados netos (DRN) que de media se ha obtenido en la liquidación de ingresos de los tres últimos ejercicios y cuyo cálculo se muestra a continuación. </w:t>
      </w:r>
    </w:p>
    <w:p>
      <w:pPr>
        <w:pStyle w:val="Standard"/>
        <w:jc w:val="both"/>
        <w:rPr>
          <w:rFonts w:ascii="Arial" w:hAnsi="Arial"/>
        </w:rPr>
      </w:pPr>
      <w:r>
        <w:rPr>
          <w:rFonts w:ascii="Arial" w:hAnsi="Arial"/>
        </w:rPr>
      </w:r>
    </w:p>
    <w:tbl>
      <w:tblPr>
        <w:tblW w:w="88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765"/>
        <w:gridCol w:w="2368"/>
        <w:gridCol w:w="3352"/>
        <w:gridCol w:w="1349"/>
      </w:tblGrid>
      <w:tr>
        <w:trPr/>
        <w:tc>
          <w:tcPr>
            <w:tcW w:w="1765"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b/>
                <w:bCs/>
              </w:rPr>
            </w:pPr>
            <w:r>
              <w:rPr>
                <w:rFonts w:cs="Calibri" w:ascii="Arial" w:hAnsi="Arial"/>
                <w:b/>
                <w:bCs/>
              </w:rPr>
              <w:t>Capítulo</w:t>
            </w:r>
          </w:p>
        </w:tc>
        <w:tc>
          <w:tcPr>
            <w:tcW w:w="2368"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b/>
                <w:bCs/>
              </w:rPr>
            </w:pPr>
            <w:r>
              <w:rPr>
                <w:rFonts w:cs="Calibri" w:ascii="Arial" w:hAnsi="Arial"/>
                <w:b/>
                <w:bCs/>
              </w:rPr>
              <w:t>DRN2024*</w:t>
            </w:r>
          </w:p>
        </w:tc>
        <w:tc>
          <w:tcPr>
            <w:tcW w:w="4701"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b/>
                <w:bCs/>
              </w:rPr>
            </w:pPr>
            <w:r>
              <w:rPr>
                <w:rFonts w:cs="Calibri" w:ascii="Arial" w:hAnsi="Arial"/>
                <w:b/>
                <w:bCs/>
              </w:rPr>
              <w:t>Recaudación 2024</w:t>
            </w:r>
          </w:p>
        </w:tc>
      </w:tr>
      <w:tr>
        <w:trPr/>
        <w:tc>
          <w:tcPr>
            <w:tcW w:w="17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3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En euros</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1.525.775,40</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1.563.725,84</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102</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123.334,75</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123.393,09</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100,04</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866.980,40</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874.472,72</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100,86</w:t>
            </w:r>
          </w:p>
        </w:tc>
      </w:tr>
      <w:tr>
        <w:trPr/>
        <w:tc>
          <w:tcPr>
            <w:tcW w:w="8834" w:type="dxa"/>
            <w:gridSpan w:val="4"/>
            <w:tcBorders>
              <w:top w:val="single" w:sz="4" w:space="0" w:color="000000"/>
            </w:tcBorders>
          </w:tcPr>
          <w:p>
            <w:pPr>
              <w:pStyle w:val="Standard"/>
              <w:widowControl w:val="false"/>
              <w:rPr>
                <w:rFonts w:ascii="Arial" w:hAnsi="Arial" w:cs="Calibri"/>
                <w:sz w:val="14"/>
                <w:szCs w:val="14"/>
              </w:rPr>
            </w:pPr>
            <w:r>
              <w:rPr>
                <w:rFonts w:cs="Calibri" w:ascii="Arial" w:hAnsi="Arial"/>
                <w:sz w:val="14"/>
                <w:szCs w:val="14"/>
              </w:rPr>
              <w:t xml:space="preserve">*Se calcula en base al ejercicio 2024 y anteriores al ser el mismo el último ejercicio liquidado y, por lo tanto, no pudiendo tomar el ejercicio inmediatamente precedente al del presupuesto cuya aprobación se pretende (2025) por estar aún en fase de ejecución. </w:t>
            </w:r>
          </w:p>
        </w:tc>
      </w:tr>
    </w:tbl>
    <w:p>
      <w:pPr>
        <w:pStyle w:val="Standard"/>
        <w:jc w:val="both"/>
        <w:rPr>
          <w:rFonts w:ascii="Arial" w:hAnsi="Arial" w:cs="Calibri"/>
        </w:rPr>
      </w:pPr>
      <w:r>
        <w:rPr>
          <w:rFonts w:cs="Calibri" w:ascii="Arial" w:hAnsi="Arial"/>
        </w:rPr>
      </w:r>
    </w:p>
    <w:tbl>
      <w:tblPr>
        <w:tblW w:w="88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765"/>
        <w:gridCol w:w="2368"/>
        <w:gridCol w:w="3352"/>
        <w:gridCol w:w="1349"/>
      </w:tblGrid>
      <w:tr>
        <w:trPr/>
        <w:tc>
          <w:tcPr>
            <w:tcW w:w="1765"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b/>
                <w:bCs/>
              </w:rPr>
            </w:pPr>
            <w:r>
              <w:rPr>
                <w:rFonts w:cs="Calibri" w:ascii="Arial" w:hAnsi="Arial"/>
                <w:b/>
                <w:bCs/>
              </w:rPr>
              <w:t>Capítulo</w:t>
            </w:r>
          </w:p>
        </w:tc>
        <w:tc>
          <w:tcPr>
            <w:tcW w:w="2368"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b/>
                <w:bCs/>
              </w:rPr>
            </w:pPr>
            <w:r>
              <w:rPr>
                <w:rFonts w:cs="Calibri" w:ascii="Arial" w:hAnsi="Arial"/>
                <w:b/>
                <w:bCs/>
              </w:rPr>
              <w:t>DRN2023</w:t>
            </w:r>
          </w:p>
        </w:tc>
        <w:tc>
          <w:tcPr>
            <w:tcW w:w="4701"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b/>
                <w:bCs/>
              </w:rPr>
            </w:pPr>
            <w:r>
              <w:rPr>
                <w:rFonts w:cs="Calibri" w:ascii="Arial" w:hAnsi="Arial"/>
                <w:b/>
                <w:bCs/>
              </w:rPr>
              <w:t>Recaudación 2023</w:t>
            </w:r>
          </w:p>
        </w:tc>
      </w:tr>
      <w:tr>
        <w:trPr/>
        <w:tc>
          <w:tcPr>
            <w:tcW w:w="17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3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En euros</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1.423.076,38</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1.424.732,89</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100,11</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50.980,86</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50.992,62</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99,89</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864.730,42</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859.770,41</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99,43</w:t>
            </w:r>
          </w:p>
        </w:tc>
      </w:tr>
    </w:tbl>
    <w:p>
      <w:pPr>
        <w:pStyle w:val="Standard"/>
        <w:jc w:val="both"/>
        <w:rPr>
          <w:rFonts w:ascii="Arial" w:hAnsi="Arial" w:cs="Calibri"/>
        </w:rPr>
      </w:pPr>
      <w:r>
        <w:rPr>
          <w:rFonts w:cs="Calibri" w:ascii="Arial" w:hAnsi="Arial"/>
        </w:rPr>
        <w:t xml:space="preserve"> </w:t>
      </w:r>
    </w:p>
    <w:tbl>
      <w:tblPr>
        <w:tblW w:w="88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765"/>
        <w:gridCol w:w="2368"/>
        <w:gridCol w:w="3352"/>
        <w:gridCol w:w="1349"/>
      </w:tblGrid>
      <w:tr>
        <w:trPr/>
        <w:tc>
          <w:tcPr>
            <w:tcW w:w="1765"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b/>
                <w:bCs/>
              </w:rPr>
            </w:pPr>
            <w:r>
              <w:rPr>
                <w:rFonts w:cs="Calibri" w:ascii="Arial" w:hAnsi="Arial"/>
                <w:b/>
                <w:bCs/>
              </w:rPr>
              <w:t>Capítulo</w:t>
            </w:r>
          </w:p>
        </w:tc>
        <w:tc>
          <w:tcPr>
            <w:tcW w:w="2368"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b/>
                <w:bCs/>
              </w:rPr>
            </w:pPr>
            <w:r>
              <w:rPr>
                <w:rFonts w:cs="Calibri" w:ascii="Arial" w:hAnsi="Arial"/>
                <w:b/>
                <w:bCs/>
              </w:rPr>
              <w:t>DRN2022</w:t>
            </w:r>
          </w:p>
        </w:tc>
        <w:tc>
          <w:tcPr>
            <w:tcW w:w="4701" w:type="dxa"/>
            <w:gridSpan w:val="2"/>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b/>
                <w:bCs/>
              </w:rPr>
            </w:pPr>
            <w:r>
              <w:rPr>
                <w:rFonts w:cs="Calibri" w:ascii="Arial" w:hAnsi="Arial"/>
                <w:b/>
                <w:bCs/>
              </w:rPr>
              <w:t>Recaudación 2022</w:t>
            </w:r>
          </w:p>
        </w:tc>
      </w:tr>
      <w:tr>
        <w:trPr/>
        <w:tc>
          <w:tcPr>
            <w:tcW w:w="17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3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En euros</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1.410.277,77</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1.410.277,77</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22.605,10</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22.605,10</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w:t>
            </w:r>
          </w:p>
        </w:tc>
      </w:tr>
      <w:tr>
        <w:trPr/>
        <w:tc>
          <w:tcPr>
            <w:tcW w:w="1765"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III</w:t>
            </w:r>
          </w:p>
        </w:tc>
        <w:tc>
          <w:tcPr>
            <w:tcW w:w="236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770.097,21</w:t>
            </w:r>
          </w:p>
        </w:tc>
        <w:tc>
          <w:tcPr>
            <w:tcW w:w="3352"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770.097,21</w:t>
            </w:r>
          </w:p>
        </w:tc>
        <w:tc>
          <w:tcPr>
            <w:tcW w:w="1349"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w:t>
            </w:r>
          </w:p>
        </w:tc>
      </w:tr>
    </w:tbl>
    <w:p>
      <w:pPr>
        <w:pStyle w:val="Standard"/>
        <w:jc w:val="both"/>
        <w:rPr>
          <w:rFonts w:ascii="Arial" w:hAnsi="Arial" w:cs="Calibri"/>
        </w:rPr>
      </w:pPr>
      <w:r>
        <w:rPr>
          <w:rFonts w:cs="Calibri" w:ascii="Arial" w:hAnsi="Arial"/>
        </w:rPr>
      </w:r>
    </w:p>
    <w:p>
      <w:pPr>
        <w:pStyle w:val="Standard"/>
        <w:jc w:val="both"/>
        <w:rPr>
          <w:rFonts w:ascii="Arial" w:hAnsi="Arial" w:cs="Calibri"/>
        </w:rPr>
      </w:pPr>
      <w:r>
        <w:rPr>
          <w:rFonts w:cs="Calibri" w:ascii="Arial" w:hAnsi="Arial"/>
        </w:rPr>
      </w:r>
    </w:p>
    <w:tbl>
      <w:tblPr>
        <w:tblW w:w="37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28"/>
        <w:gridCol w:w="2257"/>
      </w:tblGrid>
      <w:tr>
        <w:trPr/>
        <w:tc>
          <w:tcPr>
            <w:tcW w:w="1528" w:type="dxa"/>
            <w:tcBorders>
              <w:top w:val="single" w:sz="4" w:space="0" w:color="000000"/>
              <w:left w:val="single" w:sz="4" w:space="0" w:color="000000"/>
              <w:bottom w:val="single" w:sz="4" w:space="0" w:color="000000"/>
            </w:tcBorders>
          </w:tcPr>
          <w:p>
            <w:pPr>
              <w:pStyle w:val="Standard"/>
              <w:widowControl w:val="false"/>
              <w:jc w:val="center"/>
              <w:rPr>
                <w:rFonts w:ascii="Arial" w:hAnsi="Arial" w:cs="Calibri"/>
              </w:rPr>
            </w:pPr>
            <w:r>
              <w:rPr>
                <w:rFonts w:cs="Calibri" w:ascii="Arial" w:hAnsi="Arial"/>
              </w:rPr>
              <w:t>Capítulo</w:t>
            </w:r>
          </w:p>
        </w:tc>
        <w:tc>
          <w:tcPr>
            <w:tcW w:w="2257" w:type="dxa"/>
            <w:tcBorders>
              <w:top w:val="single" w:sz="4" w:space="0" w:color="000000"/>
              <w:bottom w:val="single" w:sz="4" w:space="0" w:color="000000"/>
              <w:right w:val="single" w:sz="4" w:space="0" w:color="000000"/>
            </w:tcBorders>
          </w:tcPr>
          <w:p>
            <w:pPr>
              <w:pStyle w:val="Standard"/>
              <w:widowControl w:val="false"/>
              <w:jc w:val="center"/>
              <w:rPr>
                <w:rFonts w:ascii="Arial" w:hAnsi="Arial"/>
              </w:rPr>
            </w:pPr>
            <w:r>
              <w:rPr>
                <w:rFonts w:cs="Calibri" w:ascii="Arial" w:hAnsi="Arial"/>
              </w:rPr>
              <w:t>% Media Recaudación</w:t>
            </w:r>
          </w:p>
        </w:tc>
      </w:tr>
      <w:tr>
        <w:trPr/>
        <w:tc>
          <w:tcPr>
            <w:tcW w:w="1528" w:type="dxa"/>
            <w:tcBorders>
              <w:top w:val="single" w:sz="4" w:space="0" w:color="000000"/>
              <w:left w:val="single" w:sz="4" w:space="0" w:color="000000"/>
            </w:tcBorders>
          </w:tcPr>
          <w:p>
            <w:pPr>
              <w:pStyle w:val="Standard"/>
              <w:widowControl w:val="false"/>
              <w:jc w:val="center"/>
              <w:rPr>
                <w:rFonts w:ascii="Arial" w:hAnsi="Arial" w:cs="Calibri"/>
              </w:rPr>
            </w:pPr>
            <w:r>
              <w:rPr>
                <w:rFonts w:cs="Calibri" w:ascii="Arial" w:hAnsi="Arial"/>
              </w:rPr>
              <w:t>I</w:t>
            </w:r>
          </w:p>
        </w:tc>
        <w:tc>
          <w:tcPr>
            <w:tcW w:w="2257" w:type="dxa"/>
            <w:tcBorders>
              <w:top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100,7</w:t>
            </w:r>
          </w:p>
        </w:tc>
      </w:tr>
      <w:tr>
        <w:trPr/>
        <w:tc>
          <w:tcPr>
            <w:tcW w:w="1528" w:type="dxa"/>
            <w:tcBorders>
              <w:left w:val="single" w:sz="4" w:space="0" w:color="000000"/>
            </w:tcBorders>
          </w:tcPr>
          <w:p>
            <w:pPr>
              <w:pStyle w:val="Standard"/>
              <w:widowControl w:val="false"/>
              <w:jc w:val="center"/>
              <w:rPr>
                <w:rFonts w:ascii="Arial" w:hAnsi="Arial" w:cs="Calibri"/>
              </w:rPr>
            </w:pPr>
            <w:r>
              <w:rPr>
                <w:rFonts w:cs="Calibri" w:ascii="Arial" w:hAnsi="Arial"/>
              </w:rPr>
              <w:t>II</w:t>
            </w:r>
          </w:p>
        </w:tc>
        <w:tc>
          <w:tcPr>
            <w:tcW w:w="2257" w:type="dxa"/>
            <w:tcBorders>
              <w:right w:val="single" w:sz="4" w:space="0" w:color="000000"/>
            </w:tcBorders>
          </w:tcPr>
          <w:p>
            <w:pPr>
              <w:pStyle w:val="Standard"/>
              <w:widowControl w:val="false"/>
              <w:jc w:val="center"/>
              <w:rPr>
                <w:rFonts w:ascii="Arial" w:hAnsi="Arial" w:cs="Calibri"/>
              </w:rPr>
            </w:pPr>
            <w:r>
              <w:rPr>
                <w:rFonts w:cs="Calibri" w:ascii="Arial" w:hAnsi="Arial"/>
              </w:rPr>
              <w:t>99,98</w:t>
            </w:r>
          </w:p>
        </w:tc>
      </w:tr>
      <w:tr>
        <w:trPr/>
        <w:tc>
          <w:tcPr>
            <w:tcW w:w="1528" w:type="dxa"/>
            <w:tcBorders>
              <w:left w:val="single" w:sz="4" w:space="0" w:color="000000"/>
              <w:bottom w:val="single" w:sz="4" w:space="0" w:color="000000"/>
            </w:tcBorders>
          </w:tcPr>
          <w:p>
            <w:pPr>
              <w:pStyle w:val="Standard"/>
              <w:widowControl w:val="false"/>
              <w:jc w:val="center"/>
              <w:rPr>
                <w:rFonts w:ascii="Arial" w:hAnsi="Arial" w:cs="Calibri"/>
              </w:rPr>
            </w:pPr>
            <w:r>
              <w:rPr>
                <w:rFonts w:cs="Calibri" w:ascii="Arial" w:hAnsi="Arial"/>
              </w:rPr>
              <w:t>III</w:t>
            </w:r>
          </w:p>
        </w:tc>
        <w:tc>
          <w:tcPr>
            <w:tcW w:w="2257" w:type="dxa"/>
            <w:tcBorders>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100,1</w:t>
            </w:r>
          </w:p>
        </w:tc>
      </w:tr>
    </w:tbl>
    <w:p>
      <w:pPr>
        <w:pStyle w:val="Standard"/>
        <w:jc w:val="both"/>
        <w:rPr>
          <w:rFonts w:ascii="Arial" w:hAnsi="Arial" w:cs="Calibri"/>
        </w:rPr>
      </w:pPr>
      <w:r>
        <w:rPr>
          <w:rFonts w:cs="Calibri" w:ascii="Arial" w:hAnsi="Arial"/>
        </w:rPr>
      </w:r>
    </w:p>
    <w:p>
      <w:pPr>
        <w:pStyle w:val="Standard"/>
        <w:jc w:val="both"/>
        <w:rPr>
          <w:rFonts w:ascii="Arial" w:hAnsi="Arial" w:cs="Calibri"/>
        </w:rPr>
      </w:pPr>
      <w:r>
        <w:rPr>
          <w:rFonts w:cs="Calibri" w:ascii="Arial" w:hAnsi="Arial"/>
        </w:rPr>
      </w:r>
    </w:p>
    <w:tbl>
      <w:tblPr>
        <w:tblW w:w="8942"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107"/>
        <w:gridCol w:w="1395"/>
        <w:gridCol w:w="2078"/>
        <w:gridCol w:w="2205"/>
        <w:gridCol w:w="2157"/>
      </w:tblGrid>
      <w:tr>
        <w:trPr/>
        <w:tc>
          <w:tcPr>
            <w:tcW w:w="1107"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b/>
                <w:bCs/>
              </w:rPr>
            </w:pPr>
            <w:r>
              <w:rPr>
                <w:rFonts w:cs="Calibri" w:ascii="Arial" w:hAnsi="Arial"/>
                <w:b/>
                <w:bCs/>
              </w:rPr>
              <w:t>Capítulo</w:t>
            </w:r>
          </w:p>
        </w:tc>
        <w:tc>
          <w:tcPr>
            <w:tcW w:w="1395"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b/>
                <w:bCs/>
              </w:rPr>
            </w:pPr>
            <w:r>
              <w:rPr>
                <w:rFonts w:cs="Calibri" w:ascii="Arial" w:hAnsi="Arial"/>
                <w:b/>
                <w:bCs/>
              </w:rPr>
              <w:t>Previsión 2026</w:t>
            </w:r>
          </w:p>
        </w:tc>
        <w:tc>
          <w:tcPr>
            <w:tcW w:w="4283" w:type="dxa"/>
            <w:gridSpan w:val="2"/>
            <w:tcBorders>
              <w:top w:val="single" w:sz="4" w:space="0" w:color="000000"/>
              <w:left w:val="single" w:sz="4" w:space="0" w:color="000000"/>
              <w:bottom w:val="single" w:sz="4" w:space="0" w:color="000000"/>
            </w:tcBorders>
          </w:tcPr>
          <w:p>
            <w:pPr>
              <w:pStyle w:val="Standard"/>
              <w:widowControl w:val="false"/>
              <w:jc w:val="center"/>
              <w:rPr>
                <w:rFonts w:ascii="Arial" w:hAnsi="Arial" w:cs="Calibri"/>
                <w:b/>
                <w:bCs/>
              </w:rPr>
            </w:pPr>
            <w:r>
              <w:rPr>
                <w:rFonts w:cs="Calibri" w:ascii="Arial" w:hAnsi="Arial"/>
                <w:b/>
                <w:bCs/>
              </w:rPr>
              <w:t>Previsión recaudación 2026</w:t>
            </w:r>
          </w:p>
        </w:tc>
        <w:tc>
          <w:tcPr>
            <w:tcW w:w="2157" w:type="dxa"/>
            <w:vMerge w:val="restart"/>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b/>
                <w:bCs/>
              </w:rPr>
            </w:pPr>
            <w:r>
              <w:rPr>
                <w:rFonts w:cs="Calibri" w:ascii="Arial" w:hAnsi="Arial"/>
                <w:b/>
                <w:bCs/>
              </w:rPr>
              <w:t>Ajuste caja</w:t>
            </w:r>
          </w:p>
        </w:tc>
      </w:tr>
      <w:tr>
        <w:trPr/>
        <w:tc>
          <w:tcPr>
            <w:tcW w:w="11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39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07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En euros</w:t>
            </w:r>
          </w:p>
        </w:tc>
        <w:tc>
          <w:tcPr>
            <w:tcW w:w="2205"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w:t>
            </w:r>
          </w:p>
        </w:tc>
        <w:tc>
          <w:tcPr>
            <w:tcW w:w="21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c>
          <w:tcPr>
            <w:tcW w:w="1107"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w:t>
            </w:r>
          </w:p>
        </w:tc>
        <w:tc>
          <w:tcPr>
            <w:tcW w:w="1395"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1.556.492,86</w:t>
            </w:r>
          </w:p>
        </w:tc>
        <w:tc>
          <w:tcPr>
            <w:tcW w:w="207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1.567.388,31</w:t>
            </w:r>
          </w:p>
        </w:tc>
        <w:tc>
          <w:tcPr>
            <w:tcW w:w="2205"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100,7</w:t>
            </w:r>
          </w:p>
        </w:tc>
        <w:tc>
          <w:tcPr>
            <w:tcW w:w="2157"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b/>
                <w:bCs/>
              </w:rPr>
            </w:pPr>
            <w:r>
              <w:rPr>
                <w:rFonts w:cs="Calibri" w:ascii="Arial" w:hAnsi="Arial"/>
                <w:b/>
                <w:bCs/>
              </w:rPr>
              <w:t>10.895,45</w:t>
            </w:r>
          </w:p>
        </w:tc>
      </w:tr>
      <w:tr>
        <w:trPr/>
        <w:tc>
          <w:tcPr>
            <w:tcW w:w="1107"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w:t>
            </w:r>
          </w:p>
        </w:tc>
        <w:tc>
          <w:tcPr>
            <w:tcW w:w="1395"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53.374,18</w:t>
            </w:r>
          </w:p>
        </w:tc>
        <w:tc>
          <w:tcPr>
            <w:tcW w:w="207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53.363,51</w:t>
            </w:r>
          </w:p>
        </w:tc>
        <w:tc>
          <w:tcPr>
            <w:tcW w:w="2205"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99,98</w:t>
            </w:r>
          </w:p>
        </w:tc>
        <w:tc>
          <w:tcPr>
            <w:tcW w:w="2157"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b/>
                <w:bCs/>
              </w:rPr>
            </w:pPr>
            <w:r>
              <w:rPr>
                <w:rFonts w:cs="Calibri" w:ascii="Arial" w:hAnsi="Arial"/>
                <w:b/>
                <w:bCs/>
              </w:rPr>
              <w:t>-10,67</w:t>
            </w:r>
          </w:p>
        </w:tc>
      </w:tr>
      <w:tr>
        <w:trPr/>
        <w:tc>
          <w:tcPr>
            <w:tcW w:w="1107"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Arial" w:hAnsi="Arial" w:cs="Calibri"/>
              </w:rPr>
            </w:pPr>
            <w:r>
              <w:rPr>
                <w:rFonts w:cs="Calibri" w:ascii="Arial" w:hAnsi="Arial"/>
              </w:rPr>
              <w:t>III</w:t>
            </w:r>
          </w:p>
        </w:tc>
        <w:tc>
          <w:tcPr>
            <w:tcW w:w="1395"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1.564.323,77</w:t>
            </w:r>
          </w:p>
        </w:tc>
        <w:tc>
          <w:tcPr>
            <w:tcW w:w="2078"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rPr>
            </w:pPr>
            <w:r>
              <w:rPr>
                <w:rFonts w:cs="Calibri" w:ascii="Arial" w:hAnsi="Arial"/>
              </w:rPr>
              <w:t>1.565.888,09</w:t>
            </w:r>
          </w:p>
        </w:tc>
        <w:tc>
          <w:tcPr>
            <w:tcW w:w="2205"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cs="Calibri"/>
              </w:rPr>
            </w:pPr>
            <w:r>
              <w:rPr>
                <w:rFonts w:cs="Calibri" w:ascii="Arial" w:hAnsi="Arial"/>
              </w:rPr>
              <w:t>100,1</w:t>
            </w:r>
          </w:p>
        </w:tc>
        <w:tc>
          <w:tcPr>
            <w:tcW w:w="2157" w:type="dxa"/>
            <w:tcBorders>
              <w:top w:val="single" w:sz="4" w:space="0" w:color="000000"/>
              <w:left w:val="single" w:sz="4" w:space="0" w:color="000000"/>
              <w:bottom w:val="single" w:sz="4" w:space="0" w:color="000000"/>
              <w:right w:val="single" w:sz="4" w:space="0" w:color="000000"/>
            </w:tcBorders>
          </w:tcPr>
          <w:p>
            <w:pPr>
              <w:pStyle w:val="Standard"/>
              <w:widowControl w:val="false"/>
              <w:jc w:val="right"/>
              <w:rPr>
                <w:rFonts w:ascii="Arial" w:hAnsi="Arial" w:cs="Calibri"/>
                <w:b/>
                <w:bCs/>
              </w:rPr>
            </w:pPr>
            <w:r>
              <w:rPr>
                <w:rFonts w:cs="Calibri" w:ascii="Arial" w:hAnsi="Arial"/>
                <w:b/>
                <w:bCs/>
              </w:rPr>
              <w:t>1.564,32</w:t>
            </w:r>
          </w:p>
        </w:tc>
      </w:tr>
    </w:tbl>
    <w:p>
      <w:pPr>
        <w:pStyle w:val="Standard"/>
        <w:tabs>
          <w:tab w:val="clear" w:pos="708"/>
          <w:tab w:val="left" w:pos="-720" w:leader="none"/>
        </w:tabs>
        <w:jc w:val="both"/>
        <w:rPr>
          <w:rFonts w:ascii="Arial" w:hAnsi="Arial" w:cs="Calibri"/>
          <w:bCs/>
        </w:rPr>
      </w:pPr>
      <w:r>
        <w:rPr>
          <w:rFonts w:cs="Calibri" w:ascii="Arial" w:hAnsi="Arial"/>
          <w:bCs/>
        </w:rPr>
      </w:r>
    </w:p>
    <w:p>
      <w:pPr>
        <w:pStyle w:val="Standard"/>
        <w:tabs>
          <w:tab w:val="clear" w:pos="708"/>
          <w:tab w:val="left" w:pos="-720" w:leader="none"/>
        </w:tabs>
        <w:jc w:val="right"/>
        <w:rPr>
          <w:rFonts w:ascii="Arial" w:hAnsi="Arial" w:cs="Calibri"/>
          <w:b/>
          <w:bCs/>
        </w:rPr>
      </w:pPr>
      <w:r>
        <w:rPr>
          <w:rFonts w:cs="Calibri" w:ascii="Arial" w:hAnsi="Arial"/>
          <w:b/>
          <w:bCs/>
        </w:rPr>
        <w:t>Total ajuste de caja: 12.449,10 euros</w:t>
      </w:r>
    </w:p>
    <w:p>
      <w:pPr>
        <w:pStyle w:val="Standard"/>
        <w:tabs>
          <w:tab w:val="clear" w:pos="708"/>
          <w:tab w:val="left" w:pos="-720" w:leader="none"/>
        </w:tabs>
        <w:jc w:val="right"/>
        <w:rPr>
          <w:rFonts w:ascii="Arial" w:hAnsi="Arial" w:cs="Calibri"/>
          <w:b/>
          <w:bCs/>
        </w:rPr>
      </w:pPr>
      <w:r>
        <w:rPr/>
      </w:r>
    </w:p>
    <w:p>
      <w:pPr>
        <w:pStyle w:val="Standard"/>
        <w:tabs>
          <w:tab w:val="clear" w:pos="708"/>
          <w:tab w:val="left" w:pos="-720" w:leader="none"/>
        </w:tabs>
        <w:jc w:val="right"/>
        <w:rPr>
          <w:rFonts w:ascii="Arial" w:hAnsi="Arial" w:cs="Calibri"/>
          <w:b/>
          <w:bCs/>
        </w:rPr>
      </w:pPr>
      <w:r>
        <w:rPr/>
      </w:r>
    </w:p>
    <w:p>
      <w:pPr>
        <w:pStyle w:val="Standard"/>
        <w:tabs>
          <w:tab w:val="clear" w:pos="708"/>
          <w:tab w:val="left" w:pos="-720" w:leader="none"/>
        </w:tabs>
        <w:jc w:val="both"/>
        <w:rPr>
          <w:rFonts w:ascii="Arial" w:hAnsi="Arial"/>
        </w:rPr>
      </w:pPr>
      <w:r>
        <w:rPr>
          <w:rFonts w:ascii="Arial" w:hAnsi="Arial"/>
        </w:rPr>
      </w:r>
    </w:p>
    <w:p>
      <w:pPr>
        <w:pStyle w:val="Standard"/>
        <w:tabs>
          <w:tab w:val="clear" w:pos="708"/>
          <w:tab w:val="left" w:pos="-12" w:leader="none"/>
        </w:tabs>
        <w:ind w:left="708" w:hanging="0"/>
        <w:jc w:val="both"/>
        <w:rPr>
          <w:rFonts w:ascii="Arial" w:hAnsi="Arial"/>
        </w:rPr>
      </w:pPr>
      <w:r>
        <w:rPr>
          <w:rFonts w:cs="Calibri" w:ascii="Arial" w:hAnsi="Arial"/>
          <w:b/>
          <w:bCs/>
        </w:rPr>
        <w:t>2) AJUSTES DEL PRESUPUESTO DE GASTOS.</w:t>
      </w:r>
    </w:p>
    <w:p>
      <w:pPr>
        <w:pStyle w:val="Standard"/>
        <w:tabs>
          <w:tab w:val="clear" w:pos="708"/>
          <w:tab w:val="left" w:pos="-720" w:leader="none"/>
        </w:tabs>
        <w:jc w:val="both"/>
        <w:rPr>
          <w:rFonts w:ascii="Arial" w:hAnsi="Arial"/>
        </w:rPr>
      </w:pPr>
      <w:r>
        <w:rPr>
          <w:rFonts w:ascii="Arial" w:hAnsi="Arial"/>
        </w:rPr>
      </w:r>
    </w:p>
    <w:p>
      <w:pPr>
        <w:pStyle w:val="Standard"/>
        <w:tabs>
          <w:tab w:val="clear" w:pos="708"/>
          <w:tab w:val="left" w:pos="-720" w:leader="none"/>
        </w:tabs>
        <w:spacing w:lineRule="auto" w:line="276"/>
        <w:jc w:val="both"/>
        <w:rPr>
          <w:rFonts w:ascii="Arial" w:hAnsi="Arial"/>
        </w:rPr>
      </w:pPr>
      <w:r>
        <w:rPr>
          <w:rFonts w:ascii="Arial" w:hAnsi="Arial"/>
        </w:rPr>
        <w:t>En este apartado incluiremos únicamente los ajustes por grado de ejecución, debido a la inexistencia de deuda pendiente ni operaciones de leasing o pago aplazado.</w:t>
      </w:r>
    </w:p>
    <w:p>
      <w:pPr>
        <w:pStyle w:val="Standard"/>
        <w:tabs>
          <w:tab w:val="clear" w:pos="708"/>
          <w:tab w:val="left" w:pos="-720" w:leader="none"/>
        </w:tabs>
        <w:spacing w:lineRule="auto" w:line="276"/>
        <w:jc w:val="both"/>
        <w:rPr>
          <w:rFonts w:ascii="Arial" w:hAnsi="Arial"/>
        </w:rPr>
      </w:pPr>
      <w:r>
        <w:rPr>
          <w:rFonts w:ascii="Arial" w:hAnsi="Arial"/>
        </w:rPr>
      </w:r>
    </w:p>
    <w:p>
      <w:pPr>
        <w:pStyle w:val="Standard"/>
        <w:tabs>
          <w:tab w:val="clear" w:pos="708"/>
          <w:tab w:val="left" w:pos="-720" w:leader="none"/>
        </w:tabs>
        <w:spacing w:lineRule="auto" w:line="276"/>
        <w:jc w:val="both"/>
        <w:rPr>
          <w:rFonts w:ascii="Arial" w:hAnsi="Arial"/>
        </w:rPr>
      </w:pPr>
      <w:r>
        <w:rPr>
          <w:rFonts w:ascii="Arial" w:hAnsi="Arial"/>
          <w:b/>
          <w:bCs/>
        </w:rPr>
        <w:t>AJUSTE NÚMERO 1: Ajuste por grado de ejecución de los tres últimos presupuestos</w:t>
      </w:r>
      <w:r>
        <w:rPr>
          <w:rFonts w:ascii="Arial" w:hAnsi="Arial"/>
        </w:rPr>
        <w:t xml:space="preserve"> conforme ha recogido la guía de la IGAE.</w:t>
      </w:r>
    </w:p>
    <w:p>
      <w:pPr>
        <w:pStyle w:val="Standard"/>
        <w:tabs>
          <w:tab w:val="clear" w:pos="708"/>
          <w:tab w:val="left" w:pos="-720" w:leader="none"/>
        </w:tabs>
        <w:spacing w:lineRule="auto" w:line="276"/>
        <w:jc w:val="both"/>
        <w:rPr>
          <w:rFonts w:ascii="Arial" w:hAnsi="Arial"/>
        </w:rPr>
      </w:pPr>
      <w:r>
        <w:rPr>
          <w:rFonts w:ascii="Arial" w:hAnsi="Arial"/>
        </w:rPr>
      </w:r>
    </w:p>
    <w:p>
      <w:pPr>
        <w:pStyle w:val="Standard"/>
        <w:tabs>
          <w:tab w:val="clear" w:pos="708"/>
          <w:tab w:val="left" w:pos="-720" w:leader="none"/>
        </w:tabs>
        <w:spacing w:lineRule="auto" w:line="276"/>
        <w:jc w:val="both"/>
        <w:rPr>
          <w:rFonts w:ascii="Arial" w:hAnsi="Arial"/>
        </w:rPr>
      </w:pPr>
      <w:r>
        <w:rPr>
          <w:rFonts w:ascii="Arial" w:hAnsi="Arial"/>
        </w:rPr>
        <w:t>De acuerdo con la descripción que se hace de este ajuste en la Guía (3ª Edición IAGE de noviembre de 2014) “</w:t>
      </w:r>
      <w:r>
        <w:rPr>
          <w:rFonts w:ascii="Arial" w:hAnsi="Arial"/>
          <w:i/>
          <w:iCs/>
        </w:rPr>
        <w:t>Este ajuste reducirá los empleos no financieros en aquellos gastos que por sus características o por su naturaleza se consideren de imposible ejecución en el ejercicio presupuestario y los aumentará en aquellos gastos cuya ejecución vaya a superar el importe de los créditos iniciales.</w:t>
      </w:r>
    </w:p>
    <w:p>
      <w:pPr>
        <w:pStyle w:val="Standard"/>
        <w:tabs>
          <w:tab w:val="clear" w:pos="708"/>
          <w:tab w:val="left" w:pos="-720" w:leader="none"/>
        </w:tabs>
        <w:spacing w:lineRule="auto" w:line="276"/>
        <w:jc w:val="both"/>
        <w:rPr>
          <w:rFonts w:ascii="Arial" w:hAnsi="Arial"/>
          <w:i/>
          <w:i/>
          <w:iCs/>
        </w:rPr>
      </w:pPr>
      <w:r>
        <w:rPr>
          <w:rFonts w:ascii="Arial" w:hAnsi="Arial"/>
          <w:i/>
          <w:iCs/>
        </w:rPr>
      </w:r>
    </w:p>
    <w:p>
      <w:pPr>
        <w:pStyle w:val="Standard"/>
        <w:tabs>
          <w:tab w:val="clear" w:pos="708"/>
          <w:tab w:val="left" w:pos="-720" w:leader="none"/>
        </w:tabs>
        <w:spacing w:lineRule="auto" w:line="276"/>
        <w:jc w:val="both"/>
        <w:rPr>
          <w:rFonts w:ascii="Arial" w:hAnsi="Arial"/>
        </w:rPr>
      </w:pPr>
      <w:r>
        <w:rPr>
          <w:rFonts w:ascii="Arial" w:hAnsi="Arial"/>
          <w:i/>
          <w:iCs/>
        </w:rPr>
        <w:t>El ajuste por grado de ejecución del presupuesto en el año n será el resultado de aplicar el porcentaje estimado del grado de ejecución de dicho presupuesto al importe de los créditos por operaciones no financieras (Capítulos 1 a 7) del presupuesto de gastos</w:t>
      </w:r>
      <w:r>
        <w:rPr>
          <w:rFonts w:ascii="Arial" w:hAnsi="Arial"/>
        </w:rPr>
        <w:t>.”</w:t>
      </w:r>
    </w:p>
    <w:p>
      <w:pPr>
        <w:pStyle w:val="Standard"/>
        <w:tabs>
          <w:tab w:val="clear" w:pos="708"/>
          <w:tab w:val="left" w:pos="-720" w:leader="none"/>
        </w:tabs>
        <w:spacing w:lineRule="auto" w:line="276"/>
        <w:jc w:val="both"/>
        <w:rPr>
          <w:rFonts w:ascii="Arial" w:hAnsi="Arial"/>
        </w:rPr>
      </w:pPr>
      <w:r>
        <w:rPr>
          <w:rFonts w:ascii="Arial" w:hAnsi="Arial"/>
        </w:rPr>
      </w:r>
    </w:p>
    <w:p>
      <w:pPr>
        <w:pStyle w:val="Standard"/>
        <w:tabs>
          <w:tab w:val="clear" w:pos="708"/>
          <w:tab w:val="left" w:pos="-720" w:leader="none"/>
        </w:tabs>
        <w:spacing w:lineRule="auto" w:line="276"/>
        <w:jc w:val="both"/>
        <w:rPr>
          <w:rFonts w:ascii="Arial" w:hAnsi="Arial"/>
        </w:rPr>
      </w:pPr>
      <w:r>
        <w:rPr>
          <w:rFonts w:ascii="Arial" w:hAnsi="Arial"/>
        </w:rPr>
        <w:t>Dependiendo del signo de la media aritmética de los porcentajes del grado de ejecución de los créditos por operaciones no financieras del presupuesto de gastos de los tres ejercicios anteriores, una vez eliminados valores atípicos, sabremos si ha existido una ejecución superior o inferior a los créditos iniciales. Si existe ejecución superior a los créditos iniciales, el porcentaje estimado del grado de ejecución no podrá ser inferior a dicha media, y dará lugar a un ajuste que aumentará los empleos no financieros.</w:t>
      </w:r>
    </w:p>
    <w:p>
      <w:pPr>
        <w:pStyle w:val="Standard"/>
        <w:tabs>
          <w:tab w:val="clear" w:pos="708"/>
          <w:tab w:val="left" w:pos="-720" w:leader="none"/>
        </w:tabs>
        <w:spacing w:lineRule="auto" w:line="276"/>
        <w:jc w:val="both"/>
        <w:rPr>
          <w:rFonts w:ascii="Arial" w:hAnsi="Arial"/>
        </w:rPr>
      </w:pPr>
      <w:r>
        <w:rPr>
          <w:rFonts w:ascii="Arial" w:hAnsi="Arial"/>
        </w:rPr>
      </w:r>
    </w:p>
    <w:p>
      <w:pPr>
        <w:pStyle w:val="Standard"/>
        <w:tabs>
          <w:tab w:val="clear" w:pos="708"/>
          <w:tab w:val="left" w:pos="-720" w:leader="none"/>
        </w:tabs>
        <w:spacing w:lineRule="auto" w:line="276"/>
        <w:jc w:val="both"/>
        <w:rPr>
          <w:rFonts w:ascii="Arial" w:hAnsi="Arial"/>
        </w:rPr>
      </w:pPr>
      <w:r>
        <w:rPr>
          <w:rFonts w:ascii="Arial" w:hAnsi="Arial"/>
        </w:rPr>
        <w:t>Si existe ejecución inferior a los créditos iniciales, el porcentaje estimado del grado de ejecución no podrá superar a dicha media, y dará lugar a un ajuste que disminuirá los empleos no financieros. Si existe ejecución superior a los créditos iniciales, dará lugar a un ajuste que incrementará los empleos no financieros.</w:t>
      </w:r>
    </w:p>
    <w:p>
      <w:pPr>
        <w:pStyle w:val="Standard"/>
        <w:tabs>
          <w:tab w:val="clear" w:pos="708"/>
          <w:tab w:val="left" w:pos="-720" w:leader="none"/>
        </w:tabs>
        <w:spacing w:lineRule="auto" w:line="276"/>
        <w:jc w:val="both"/>
        <w:rPr>
          <w:rFonts w:ascii="Arial" w:hAnsi="Arial"/>
        </w:rPr>
      </w:pPr>
      <w:r>
        <w:rPr>
          <w:rFonts w:ascii="Arial" w:hAnsi="Arial"/>
        </w:rPr>
      </w:r>
    </w:p>
    <w:p>
      <w:pPr>
        <w:pStyle w:val="Standard"/>
        <w:tabs>
          <w:tab w:val="clear" w:pos="708"/>
          <w:tab w:val="left" w:pos="-720" w:leader="none"/>
        </w:tabs>
        <w:spacing w:lineRule="auto" w:line="276"/>
        <w:jc w:val="both"/>
        <w:rPr>
          <w:rFonts w:ascii="Arial" w:hAnsi="Arial"/>
        </w:rPr>
      </w:pPr>
      <w:r>
        <w:rPr>
          <w:rFonts w:ascii="Arial" w:hAnsi="Arial"/>
        </w:rPr>
        <w:t xml:space="preserve">El ajuste en un sentido u otro debe efectuarse siempre. En el caso presente, habría que aplicar el porcentaje medio de ejecución que, al ser inferior al 100%, supone un grado de inejecución, traducido ello a un ajuste positivo por menor gasto financiero previsible a realizar por el importe que se detalla a continuación: </w:t>
      </w:r>
    </w:p>
    <w:p>
      <w:pPr>
        <w:pStyle w:val="Standard"/>
        <w:tabs>
          <w:tab w:val="clear" w:pos="708"/>
          <w:tab w:val="left" w:pos="-720" w:leader="none"/>
        </w:tabs>
        <w:spacing w:lineRule="auto" w:line="276"/>
        <w:jc w:val="both"/>
        <w:rPr>
          <w:rFonts w:ascii="Arial" w:hAnsi="Arial"/>
        </w:rPr>
      </w:pPr>
      <w:r>
        <w:rPr>
          <w:rFonts w:ascii="Arial" w:hAnsi="Arial"/>
        </w:rPr>
        <w:t xml:space="preserve"> </w:t>
      </w:r>
    </w:p>
    <w:p>
      <w:pPr>
        <w:pStyle w:val="Standard"/>
        <w:tabs>
          <w:tab w:val="clear" w:pos="708"/>
          <w:tab w:val="left" w:pos="-720" w:leader="none"/>
        </w:tabs>
        <w:jc w:val="both"/>
        <w:rPr>
          <w:rFonts w:ascii="Arial" w:hAnsi="Arial" w:cs="Calibri"/>
          <w:bCs/>
        </w:rPr>
      </w:pPr>
      <w:r>
        <w:rPr>
          <w:rFonts w:cs="Calibri" w:ascii="Arial" w:hAnsi="Arial"/>
          <w:bCs/>
        </w:rPr>
      </w:r>
    </w:p>
    <w:tbl>
      <w:tblPr>
        <w:tblW w:w="8835"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1410"/>
        <w:gridCol w:w="3009"/>
        <w:gridCol w:w="3172"/>
        <w:gridCol w:w="1243"/>
      </w:tblGrid>
      <w:tr>
        <w:trPr/>
        <w:tc>
          <w:tcPr>
            <w:tcW w:w="1410" w:type="dxa"/>
            <w:tcBorders>
              <w:top w:val="single" w:sz="4" w:space="0" w:color="000000"/>
              <w:left w:val="single" w:sz="4" w:space="0" w:color="000000"/>
              <w:bottom w:val="single" w:sz="4" w:space="0" w:color="000000"/>
              <w:right w:val="single" w:sz="4" w:space="0" w:color="000000"/>
            </w:tcBorders>
          </w:tcPr>
          <w:p>
            <w:pPr>
              <w:pStyle w:val="Contenidodelatabla"/>
              <w:widowControl w:val="false"/>
              <w:rPr>
                <w:rFonts w:ascii="Arial" w:hAnsi="Arial" w:cs="Calibri"/>
                <w:b/>
                <w:bCs/>
              </w:rPr>
            </w:pPr>
            <w:r>
              <w:rPr>
                <w:rFonts w:cs="Calibri" w:ascii="Arial" w:hAnsi="Arial"/>
                <w:b/>
                <w:bCs/>
              </w:rPr>
              <w:t>Ejercicio</w:t>
            </w:r>
          </w:p>
        </w:tc>
        <w:tc>
          <w:tcPr>
            <w:tcW w:w="3009" w:type="dxa"/>
            <w:tcBorders>
              <w:top w:val="single" w:sz="4" w:space="0" w:color="000000"/>
              <w:bottom w:val="single" w:sz="4" w:space="0" w:color="000000"/>
            </w:tcBorders>
          </w:tcPr>
          <w:p>
            <w:pPr>
              <w:pStyle w:val="Contenidodelatabla"/>
              <w:widowControl w:val="false"/>
              <w:rPr>
                <w:rFonts w:ascii="Arial" w:hAnsi="Arial" w:cs="Calibri"/>
                <w:b/>
                <w:bCs/>
              </w:rPr>
            </w:pPr>
            <w:r>
              <w:rPr>
                <w:rFonts w:cs="Calibri" w:ascii="Arial" w:hAnsi="Arial"/>
                <w:b/>
                <w:bCs/>
              </w:rPr>
              <w:t>Créditos iniciales (I-VII)</w:t>
            </w:r>
          </w:p>
        </w:tc>
        <w:tc>
          <w:tcPr>
            <w:tcW w:w="3172" w:type="dxa"/>
            <w:tcBorders>
              <w:top w:val="single" w:sz="4" w:space="0" w:color="000000"/>
              <w:bottom w:val="single" w:sz="4" w:space="0" w:color="000000"/>
            </w:tcBorders>
          </w:tcPr>
          <w:p>
            <w:pPr>
              <w:pStyle w:val="Contenidodelatabla"/>
              <w:widowControl w:val="false"/>
              <w:rPr>
                <w:rFonts w:ascii="Arial" w:hAnsi="Arial" w:cs="Calibri"/>
                <w:b/>
                <w:bCs/>
              </w:rPr>
            </w:pPr>
            <w:r>
              <w:rPr>
                <w:rFonts w:cs="Calibri" w:ascii="Arial" w:hAnsi="Arial"/>
                <w:b/>
                <w:bCs/>
              </w:rPr>
              <w:t>ORN (I-VII)</w:t>
            </w:r>
          </w:p>
        </w:tc>
        <w:tc>
          <w:tcPr>
            <w:tcW w:w="1243" w:type="dxa"/>
            <w:tcBorders>
              <w:top w:val="single" w:sz="4" w:space="0" w:color="000000"/>
              <w:left w:val="single" w:sz="4" w:space="0" w:color="000000"/>
              <w:bottom w:val="single" w:sz="4" w:space="0" w:color="000000"/>
              <w:right w:val="single" w:sz="4" w:space="0" w:color="000000"/>
            </w:tcBorders>
          </w:tcPr>
          <w:p>
            <w:pPr>
              <w:pStyle w:val="Contenidodelatabla"/>
              <w:widowControl w:val="false"/>
              <w:jc w:val="center"/>
              <w:rPr>
                <w:rFonts w:ascii="Arial" w:hAnsi="Arial" w:cs="Calibri"/>
                <w:b/>
                <w:bCs/>
              </w:rPr>
            </w:pPr>
            <w:r>
              <w:rPr>
                <w:rFonts w:cs="Calibri" w:ascii="Arial" w:hAnsi="Arial"/>
                <w:b/>
                <w:bCs/>
              </w:rPr>
              <w:t>%</w:t>
            </w:r>
          </w:p>
        </w:tc>
      </w:tr>
      <w:tr>
        <w:trPr/>
        <w:tc>
          <w:tcPr>
            <w:tcW w:w="1410" w:type="dxa"/>
            <w:tcBorders>
              <w:left w:val="single" w:sz="4" w:space="0" w:color="000000"/>
              <w:right w:val="single" w:sz="4" w:space="0" w:color="000000"/>
            </w:tcBorders>
          </w:tcPr>
          <w:p>
            <w:pPr>
              <w:pStyle w:val="Contenidodelatabla"/>
              <w:widowControl w:val="false"/>
              <w:rPr>
                <w:rFonts w:ascii="Arial" w:hAnsi="Arial" w:cs="Calibri"/>
              </w:rPr>
            </w:pPr>
            <w:r>
              <w:rPr>
                <w:rFonts w:cs="Calibri" w:ascii="Arial" w:hAnsi="Arial"/>
              </w:rPr>
              <w:t>2022</w:t>
            </w:r>
          </w:p>
        </w:tc>
        <w:tc>
          <w:tcPr>
            <w:tcW w:w="3009" w:type="dxa"/>
            <w:tcBorders/>
          </w:tcPr>
          <w:p>
            <w:pPr>
              <w:pStyle w:val="Contenidodelatabla"/>
              <w:widowControl w:val="false"/>
              <w:rPr>
                <w:rFonts w:ascii="Arial" w:hAnsi="Arial" w:cs="Calibri"/>
              </w:rPr>
            </w:pPr>
            <w:r>
              <w:rPr>
                <w:rFonts w:cs="Calibri" w:ascii="Arial" w:hAnsi="Arial"/>
              </w:rPr>
              <w:t>7.086.697,52</w:t>
            </w:r>
          </w:p>
        </w:tc>
        <w:tc>
          <w:tcPr>
            <w:tcW w:w="3172" w:type="dxa"/>
            <w:tcBorders/>
          </w:tcPr>
          <w:p>
            <w:pPr>
              <w:pStyle w:val="Contenidodelatabla"/>
              <w:widowControl w:val="false"/>
              <w:rPr>
                <w:rFonts w:ascii="Arial" w:hAnsi="Arial" w:cs="Calibri"/>
              </w:rPr>
            </w:pPr>
            <w:r>
              <w:rPr>
                <w:rFonts w:cs="Calibri" w:ascii="Arial" w:hAnsi="Arial"/>
              </w:rPr>
              <w:t>6.996.491,37</w:t>
            </w:r>
          </w:p>
        </w:tc>
        <w:tc>
          <w:tcPr>
            <w:tcW w:w="1243" w:type="dxa"/>
            <w:tcBorders>
              <w:left w:val="single" w:sz="4" w:space="0" w:color="000000"/>
              <w:right w:val="single" w:sz="4" w:space="0" w:color="000000"/>
            </w:tcBorders>
          </w:tcPr>
          <w:p>
            <w:pPr>
              <w:pStyle w:val="Contenidodelatabla"/>
              <w:widowControl w:val="false"/>
              <w:jc w:val="center"/>
              <w:rPr>
                <w:rFonts w:ascii="Arial" w:hAnsi="Arial" w:cs="Calibri"/>
              </w:rPr>
            </w:pPr>
            <w:r>
              <w:rPr>
                <w:rFonts w:cs="Calibri" w:ascii="Arial" w:hAnsi="Arial"/>
              </w:rPr>
              <w:t>98,73</w:t>
            </w:r>
          </w:p>
        </w:tc>
      </w:tr>
      <w:tr>
        <w:trPr/>
        <w:tc>
          <w:tcPr>
            <w:tcW w:w="1410" w:type="dxa"/>
            <w:tcBorders>
              <w:left w:val="single" w:sz="4" w:space="0" w:color="000000"/>
              <w:right w:val="single" w:sz="4" w:space="0" w:color="000000"/>
            </w:tcBorders>
          </w:tcPr>
          <w:p>
            <w:pPr>
              <w:pStyle w:val="Contenidodelatabla"/>
              <w:widowControl w:val="false"/>
              <w:rPr>
                <w:rFonts w:ascii="Arial" w:hAnsi="Arial" w:cs="Calibri"/>
              </w:rPr>
            </w:pPr>
            <w:r>
              <w:rPr>
                <w:rFonts w:cs="Calibri" w:ascii="Arial" w:hAnsi="Arial"/>
              </w:rPr>
              <w:t>2023</w:t>
            </w:r>
          </w:p>
        </w:tc>
        <w:tc>
          <w:tcPr>
            <w:tcW w:w="3009" w:type="dxa"/>
            <w:tcBorders/>
          </w:tcPr>
          <w:p>
            <w:pPr>
              <w:pStyle w:val="Contenidodelatabla"/>
              <w:widowControl w:val="false"/>
              <w:rPr>
                <w:rFonts w:ascii="Arial" w:hAnsi="Arial" w:cs="Calibri"/>
              </w:rPr>
            </w:pPr>
            <w:r>
              <w:rPr>
                <w:rFonts w:cs="Calibri" w:ascii="Arial" w:hAnsi="Arial"/>
              </w:rPr>
              <w:t>8.835.482,47</w:t>
            </w:r>
          </w:p>
        </w:tc>
        <w:tc>
          <w:tcPr>
            <w:tcW w:w="3172" w:type="dxa"/>
            <w:tcBorders/>
          </w:tcPr>
          <w:p>
            <w:pPr>
              <w:pStyle w:val="Contenidodelatabla"/>
              <w:widowControl w:val="false"/>
              <w:rPr>
                <w:rFonts w:ascii="Arial" w:hAnsi="Arial" w:cs="Calibri"/>
              </w:rPr>
            </w:pPr>
            <w:r>
              <w:rPr>
                <w:rFonts w:cs="Calibri" w:ascii="Arial" w:hAnsi="Arial"/>
              </w:rPr>
              <w:t>9.108.880,89</w:t>
            </w:r>
          </w:p>
        </w:tc>
        <w:tc>
          <w:tcPr>
            <w:tcW w:w="1243" w:type="dxa"/>
            <w:tcBorders>
              <w:left w:val="single" w:sz="4" w:space="0" w:color="000000"/>
              <w:right w:val="single" w:sz="4" w:space="0" w:color="000000"/>
            </w:tcBorders>
          </w:tcPr>
          <w:p>
            <w:pPr>
              <w:pStyle w:val="Contenidodelatabla"/>
              <w:widowControl w:val="false"/>
              <w:jc w:val="center"/>
              <w:rPr>
                <w:rFonts w:ascii="Arial" w:hAnsi="Arial" w:cs="Calibri"/>
              </w:rPr>
            </w:pPr>
            <w:r>
              <w:rPr>
                <w:rFonts w:cs="Calibri" w:ascii="Arial" w:hAnsi="Arial"/>
              </w:rPr>
              <w:t>103,09</w:t>
            </w:r>
          </w:p>
        </w:tc>
      </w:tr>
      <w:tr>
        <w:trPr/>
        <w:tc>
          <w:tcPr>
            <w:tcW w:w="1410" w:type="dxa"/>
            <w:tcBorders>
              <w:left w:val="single" w:sz="4" w:space="0" w:color="000000"/>
              <w:right w:val="single" w:sz="4" w:space="0" w:color="000000"/>
            </w:tcBorders>
          </w:tcPr>
          <w:p>
            <w:pPr>
              <w:pStyle w:val="Contenidodelatabla"/>
              <w:widowControl w:val="false"/>
              <w:rPr>
                <w:rFonts w:ascii="Arial" w:hAnsi="Arial" w:cs="Calibri"/>
              </w:rPr>
            </w:pPr>
            <w:r>
              <w:rPr>
                <w:rFonts w:cs="Calibri" w:ascii="Arial" w:hAnsi="Arial"/>
              </w:rPr>
              <w:t>2024</w:t>
            </w:r>
          </w:p>
        </w:tc>
        <w:tc>
          <w:tcPr>
            <w:tcW w:w="3009" w:type="dxa"/>
            <w:tcBorders/>
          </w:tcPr>
          <w:p>
            <w:pPr>
              <w:pStyle w:val="Contenidodelatabla"/>
              <w:widowControl w:val="false"/>
              <w:rPr>
                <w:rFonts w:ascii="Arial" w:hAnsi="Arial" w:cs="Calibri"/>
              </w:rPr>
            </w:pPr>
            <w:r>
              <w:rPr>
                <w:rFonts w:cs="Calibri" w:ascii="Arial" w:hAnsi="Arial"/>
              </w:rPr>
              <w:t>10.152.011,36</w:t>
            </w:r>
          </w:p>
        </w:tc>
        <w:tc>
          <w:tcPr>
            <w:tcW w:w="3172" w:type="dxa"/>
            <w:tcBorders/>
          </w:tcPr>
          <w:p>
            <w:pPr>
              <w:pStyle w:val="Contenidodelatabla"/>
              <w:widowControl w:val="false"/>
              <w:rPr>
                <w:rFonts w:ascii="Arial" w:hAnsi="Arial" w:cs="Calibri"/>
              </w:rPr>
            </w:pPr>
            <w:r>
              <w:rPr>
                <w:rFonts w:cs="Calibri" w:ascii="Arial" w:hAnsi="Arial"/>
              </w:rPr>
              <w:t>9.416.029,06</w:t>
            </w:r>
          </w:p>
        </w:tc>
        <w:tc>
          <w:tcPr>
            <w:tcW w:w="1243" w:type="dxa"/>
            <w:tcBorders>
              <w:left w:val="single" w:sz="4" w:space="0" w:color="000000"/>
              <w:right w:val="single" w:sz="4" w:space="0" w:color="000000"/>
            </w:tcBorders>
          </w:tcPr>
          <w:p>
            <w:pPr>
              <w:pStyle w:val="Contenidodelatabla"/>
              <w:widowControl w:val="false"/>
              <w:jc w:val="center"/>
              <w:rPr>
                <w:rFonts w:ascii="Arial" w:hAnsi="Arial" w:cs="Calibri"/>
              </w:rPr>
            </w:pPr>
            <w:r>
              <w:rPr>
                <w:rFonts w:cs="Calibri" w:ascii="Arial" w:hAnsi="Arial"/>
              </w:rPr>
              <w:t>92,75</w:t>
            </w:r>
          </w:p>
        </w:tc>
      </w:tr>
      <w:tr>
        <w:trPr/>
        <w:tc>
          <w:tcPr>
            <w:tcW w:w="1410" w:type="dxa"/>
            <w:tcBorders>
              <w:top w:val="single" w:sz="4" w:space="0" w:color="000000"/>
              <w:left w:val="single" w:sz="4" w:space="0" w:color="000000"/>
              <w:bottom w:val="single" w:sz="4" w:space="0" w:color="000000"/>
            </w:tcBorders>
          </w:tcPr>
          <w:p>
            <w:pPr>
              <w:pStyle w:val="Contenidodelatabla"/>
              <w:widowControl w:val="false"/>
              <w:rPr>
                <w:rFonts w:ascii="Arial" w:hAnsi="Arial" w:cs="Calibri"/>
              </w:rPr>
            </w:pPr>
            <w:r>
              <w:rPr>
                <w:rFonts w:cs="Calibri" w:ascii="Arial" w:hAnsi="Arial"/>
              </w:rPr>
            </w:r>
          </w:p>
        </w:tc>
        <w:tc>
          <w:tcPr>
            <w:tcW w:w="3009" w:type="dxa"/>
            <w:tcBorders>
              <w:top w:val="single" w:sz="4" w:space="0" w:color="000000"/>
              <w:bottom w:val="single" w:sz="4" w:space="0" w:color="000000"/>
            </w:tcBorders>
          </w:tcPr>
          <w:p>
            <w:pPr>
              <w:pStyle w:val="Contenidodelatabla"/>
              <w:widowControl w:val="false"/>
              <w:rPr>
                <w:rFonts w:ascii="Arial" w:hAnsi="Arial" w:cs="Calibri"/>
              </w:rPr>
            </w:pPr>
            <w:r>
              <w:rPr>
                <w:rFonts w:cs="Calibri" w:ascii="Arial" w:hAnsi="Arial"/>
              </w:rPr>
            </w:r>
          </w:p>
        </w:tc>
        <w:tc>
          <w:tcPr>
            <w:tcW w:w="3172" w:type="dxa"/>
            <w:tcBorders>
              <w:top w:val="single" w:sz="4" w:space="0" w:color="000000"/>
              <w:bottom w:val="single" w:sz="4" w:space="0" w:color="000000"/>
            </w:tcBorders>
          </w:tcPr>
          <w:p>
            <w:pPr>
              <w:pStyle w:val="Contenidodelatabla"/>
              <w:widowControl w:val="false"/>
              <w:jc w:val="right"/>
              <w:rPr>
                <w:rFonts w:ascii="Arial" w:hAnsi="Arial" w:cs="Calibri"/>
              </w:rPr>
            </w:pPr>
            <w:r>
              <w:rPr>
                <w:rFonts w:cs="Calibri" w:ascii="Arial" w:hAnsi="Arial"/>
              </w:rPr>
              <w:t>Media</w:t>
            </w:r>
          </w:p>
        </w:tc>
        <w:tc>
          <w:tcPr>
            <w:tcW w:w="1243" w:type="dxa"/>
            <w:tcBorders>
              <w:top w:val="single" w:sz="4" w:space="0" w:color="000000"/>
              <w:left w:val="single" w:sz="4" w:space="0" w:color="000000"/>
              <w:bottom w:val="single" w:sz="4" w:space="0" w:color="000000"/>
              <w:right w:val="single" w:sz="4" w:space="0" w:color="000000"/>
            </w:tcBorders>
          </w:tcPr>
          <w:p>
            <w:pPr>
              <w:pStyle w:val="Contenidodelatabla"/>
              <w:widowControl w:val="false"/>
              <w:jc w:val="center"/>
              <w:rPr>
                <w:rFonts w:ascii="Arial" w:hAnsi="Arial" w:cs="Calibri"/>
              </w:rPr>
            </w:pPr>
            <w:r>
              <w:rPr>
                <w:rFonts w:cs="Calibri" w:ascii="Arial" w:hAnsi="Arial"/>
              </w:rPr>
              <w:t>98,19</w:t>
            </w:r>
          </w:p>
        </w:tc>
      </w:tr>
      <w:tr>
        <w:trPr/>
        <w:tc>
          <w:tcPr>
            <w:tcW w:w="1410" w:type="dxa"/>
            <w:tcBorders>
              <w:left w:val="single" w:sz="4" w:space="0" w:color="000000"/>
              <w:bottom w:val="single" w:sz="4" w:space="0" w:color="000000"/>
              <w:right w:val="single" w:sz="4" w:space="0" w:color="000000"/>
            </w:tcBorders>
          </w:tcPr>
          <w:p>
            <w:pPr>
              <w:pStyle w:val="Contenidodelatabla"/>
              <w:widowControl w:val="false"/>
              <w:rPr>
                <w:rFonts w:ascii="Arial" w:hAnsi="Arial" w:cs="Calibri"/>
              </w:rPr>
            </w:pPr>
            <w:r>
              <w:rPr>
                <w:rFonts w:cs="Calibri" w:ascii="Arial" w:hAnsi="Arial"/>
              </w:rPr>
              <w:t>2026</w:t>
            </w:r>
          </w:p>
        </w:tc>
        <w:tc>
          <w:tcPr>
            <w:tcW w:w="3009" w:type="dxa"/>
            <w:tcBorders>
              <w:bottom w:val="single" w:sz="4" w:space="0" w:color="000000"/>
            </w:tcBorders>
          </w:tcPr>
          <w:p>
            <w:pPr>
              <w:pStyle w:val="Contenidodelatabla"/>
              <w:widowControl w:val="false"/>
              <w:rPr>
                <w:rFonts w:ascii="Arial" w:hAnsi="Arial" w:cs="Calibri"/>
              </w:rPr>
            </w:pPr>
            <w:r>
              <w:rPr>
                <w:rFonts w:ascii="Arial" w:hAnsi="Arial"/>
              </w:rPr>
              <w:t>9.099.060,41</w:t>
            </w:r>
          </w:p>
        </w:tc>
        <w:tc>
          <w:tcPr>
            <w:tcW w:w="3172" w:type="dxa"/>
            <w:tcBorders>
              <w:bottom w:val="single" w:sz="4" w:space="0" w:color="000000"/>
            </w:tcBorders>
          </w:tcPr>
          <w:p>
            <w:pPr>
              <w:pStyle w:val="Contenidodelatabla"/>
              <w:widowControl w:val="false"/>
              <w:rPr>
                <w:rFonts w:ascii="Arial" w:hAnsi="Arial" w:cs="Calibri"/>
                <w:b/>
                <w:bCs/>
              </w:rPr>
            </w:pPr>
            <w:r>
              <w:rPr>
                <w:rFonts w:cs="Calibri" w:ascii="Arial" w:hAnsi="Arial"/>
                <w:b/>
                <w:bCs/>
              </w:rPr>
              <w:t>8.934.367,42</w:t>
            </w:r>
          </w:p>
        </w:tc>
        <w:tc>
          <w:tcPr>
            <w:tcW w:w="1243" w:type="dxa"/>
            <w:tcBorders>
              <w:left w:val="single" w:sz="4" w:space="0" w:color="000000"/>
              <w:bottom w:val="single" w:sz="4" w:space="0" w:color="000000"/>
              <w:right w:val="single" w:sz="4" w:space="0" w:color="000000"/>
            </w:tcBorders>
          </w:tcPr>
          <w:p>
            <w:pPr>
              <w:pStyle w:val="Contenidodelatabla"/>
              <w:widowControl w:val="false"/>
              <w:jc w:val="center"/>
              <w:rPr>
                <w:rFonts w:ascii="Arial" w:hAnsi="Arial" w:cs="Calibri"/>
              </w:rPr>
            </w:pPr>
            <w:r>
              <w:rPr>
                <w:rFonts w:cs="Calibri" w:ascii="Arial" w:hAnsi="Arial"/>
              </w:rPr>
              <w:t>98,19</w:t>
            </w:r>
          </w:p>
        </w:tc>
      </w:tr>
    </w:tbl>
    <w:p>
      <w:pPr>
        <w:pStyle w:val="Standard"/>
        <w:tabs>
          <w:tab w:val="clear" w:pos="708"/>
          <w:tab w:val="left" w:pos="-720" w:leader="none"/>
        </w:tabs>
        <w:jc w:val="both"/>
        <w:rPr>
          <w:rFonts w:ascii="Arial" w:hAnsi="Arial" w:cs="Calibri"/>
          <w:b/>
          <w:bCs/>
        </w:rPr>
      </w:pPr>
      <w:r>
        <w:rPr>
          <w:rFonts w:cs="Calibri" w:ascii="Arial" w:hAnsi="Arial"/>
          <w:b/>
          <w:bCs/>
        </w:rPr>
      </w:r>
    </w:p>
    <w:p>
      <w:pPr>
        <w:pStyle w:val="Standard"/>
        <w:tabs>
          <w:tab w:val="clear" w:pos="708"/>
          <w:tab w:val="left" w:pos="-720" w:leader="none"/>
        </w:tabs>
        <w:jc w:val="both"/>
        <w:rPr>
          <w:rFonts w:ascii="Arial" w:hAnsi="Arial" w:cs="Calibri"/>
          <w:b/>
          <w:bCs/>
        </w:rPr>
      </w:pPr>
      <w:r>
        <w:rPr>
          <w:rFonts w:cs="Calibri" w:ascii="Arial" w:hAnsi="Arial"/>
          <w:b/>
          <w:bCs/>
        </w:rPr>
        <w:t>Total ajuste de grado de ejecución a realizar: + 164.692,99 €</w:t>
      </w:r>
    </w:p>
    <w:p>
      <w:pPr>
        <w:pStyle w:val="Standard"/>
        <w:tabs>
          <w:tab w:val="clear" w:pos="708"/>
          <w:tab w:val="left" w:pos="-720" w:leader="none"/>
        </w:tabs>
        <w:jc w:val="both"/>
        <w:rPr>
          <w:rFonts w:ascii="Arial" w:hAnsi="Arial" w:cs="Calibri"/>
          <w:b/>
          <w:bCs/>
        </w:rPr>
      </w:pPr>
      <w:r>
        <w:rPr>
          <w:rFonts w:cs="Calibri" w:ascii="Arial" w:hAnsi="Arial"/>
          <w:b/>
          <w:bCs/>
        </w:rPr>
      </w:r>
    </w:p>
    <w:p>
      <w:pPr>
        <w:pStyle w:val="Standard"/>
        <w:tabs>
          <w:tab w:val="clear" w:pos="708"/>
          <w:tab w:val="left" w:pos="-720" w:leader="none"/>
        </w:tabs>
        <w:jc w:val="both"/>
        <w:rPr>
          <w:rFonts w:ascii="Arial" w:hAnsi="Arial" w:cs="Calibri"/>
          <w:bCs/>
        </w:rPr>
      </w:pPr>
      <w:r>
        <w:rPr>
          <w:rFonts w:cs="Calibri" w:ascii="Arial" w:hAnsi="Arial"/>
          <w:bCs/>
        </w:rPr>
      </w:r>
    </w:p>
    <w:tbl>
      <w:tblPr>
        <w:tblW w:w="8334" w:type="dxa"/>
        <w:jc w:val="left"/>
        <w:tblInd w:w="499" w:type="dxa"/>
        <w:tblLayout w:type="fixed"/>
        <w:tblCellMar>
          <w:top w:w="55" w:type="dxa"/>
          <w:left w:w="108" w:type="dxa"/>
          <w:bottom w:w="55" w:type="dxa"/>
          <w:right w:w="108" w:type="dxa"/>
        </w:tblCellMar>
        <w:tblLook w:firstRow="1" w:noVBand="1" w:lastRow="0" w:firstColumn="1" w:lastColumn="0" w:noHBand="0" w:val="04a0"/>
      </w:tblPr>
      <w:tblGrid>
        <w:gridCol w:w="5838"/>
        <w:gridCol w:w="2495"/>
      </w:tblGrid>
      <w:tr>
        <w:trPr>
          <w:trHeight w:val="396" w:hRule="atLeast"/>
        </w:trPr>
        <w:tc>
          <w:tcPr>
            <w:tcW w:w="5838" w:type="dxa"/>
            <w:tcBorders>
              <w:top w:val="single" w:sz="4" w:space="0" w:color="000000"/>
              <w:left w:val="single" w:sz="4" w:space="0" w:color="000000"/>
            </w:tcBorders>
          </w:tcPr>
          <w:p>
            <w:pPr>
              <w:pStyle w:val="Standard"/>
              <w:widowControl w:val="false"/>
              <w:tabs>
                <w:tab w:val="clear" w:pos="708"/>
                <w:tab w:val="left" w:pos="-720" w:leader="none"/>
                <w:tab w:val="center" w:pos="4252" w:leader="none"/>
                <w:tab w:val="right" w:pos="8504" w:leader="none"/>
              </w:tabs>
              <w:jc w:val="both"/>
              <w:rPr>
                <w:rFonts w:ascii="Arial" w:hAnsi="Arial" w:cs="Calibri"/>
                <w:b/>
                <w:bCs/>
              </w:rPr>
            </w:pPr>
            <w:r>
              <w:rPr>
                <w:rFonts w:cs="Calibri" w:ascii="Arial" w:hAnsi="Arial"/>
                <w:b/>
                <w:bCs/>
              </w:rPr>
              <w:t>TOTAL AJUSTES POR RECAUDACIÓN</w:t>
            </w:r>
          </w:p>
        </w:tc>
        <w:tc>
          <w:tcPr>
            <w:tcW w:w="2495" w:type="dxa"/>
            <w:tcBorders>
              <w:top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jc w:val="right"/>
              <w:rPr>
                <w:rFonts w:ascii="Arial" w:hAnsi="Arial"/>
              </w:rPr>
            </w:pPr>
            <w:r>
              <w:rPr>
                <w:rFonts w:cs="Calibri" w:ascii="Arial" w:hAnsi="Arial"/>
                <w:b/>
                <w:bCs/>
              </w:rPr>
              <w:t>12.449,10 €</w:t>
            </w:r>
          </w:p>
        </w:tc>
      </w:tr>
      <w:tr>
        <w:trPr>
          <w:trHeight w:val="164" w:hRule="atLeast"/>
        </w:trPr>
        <w:tc>
          <w:tcPr>
            <w:tcW w:w="5838" w:type="dxa"/>
            <w:tcBorders>
              <w:left w:val="single" w:sz="4" w:space="0" w:color="000000"/>
              <w:bottom w:val="single" w:sz="4" w:space="0" w:color="000000"/>
            </w:tcBorders>
          </w:tcPr>
          <w:p>
            <w:pPr>
              <w:pStyle w:val="Standard"/>
              <w:widowControl w:val="false"/>
              <w:tabs>
                <w:tab w:val="clear" w:pos="708"/>
                <w:tab w:val="left" w:pos="-720" w:leader="none"/>
                <w:tab w:val="center" w:pos="4252" w:leader="none"/>
                <w:tab w:val="right" w:pos="8504" w:leader="none"/>
              </w:tabs>
              <w:jc w:val="both"/>
              <w:rPr>
                <w:rFonts w:ascii="Arial" w:hAnsi="Arial"/>
              </w:rPr>
            </w:pPr>
            <w:r>
              <w:rPr>
                <w:rFonts w:cs="Calibri" w:ascii="Arial" w:hAnsi="Arial"/>
                <w:b/>
                <w:bCs/>
              </w:rPr>
              <w:t>TOTAL AJUSTES POR INEJECUCIÓN</w:t>
            </w:r>
          </w:p>
        </w:tc>
        <w:tc>
          <w:tcPr>
            <w:tcW w:w="2495" w:type="dxa"/>
            <w:tcBorders>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360"/>
              <w:jc w:val="right"/>
              <w:rPr>
                <w:rFonts w:ascii="Arial" w:hAnsi="Arial"/>
              </w:rPr>
            </w:pPr>
            <w:r>
              <w:rPr>
                <w:rFonts w:cs="Calibri" w:ascii="Arial" w:hAnsi="Arial"/>
                <w:b/>
                <w:bCs/>
              </w:rPr>
              <w:t>+ 164.692,99 €</w:t>
            </w:r>
          </w:p>
        </w:tc>
      </w:tr>
      <w:tr>
        <w:trPr>
          <w:trHeight w:val="1" w:hRule="exact"/>
        </w:trPr>
        <w:tc>
          <w:tcPr>
            <w:tcW w:w="5838" w:type="dxa"/>
            <w:tcBorders>
              <w:top w:val="single" w:sz="4" w:space="0" w:color="000000"/>
              <w:left w:val="single" w:sz="4" w:space="0" w:color="000000"/>
              <w:bottom w:val="single" w:sz="4" w:space="0" w:color="000000"/>
              <w:right w:val="single" w:sz="4" w:space="0" w:color="000000"/>
            </w:tcBorders>
            <w:tcMar>
              <w:top w:w="0" w:type="dxa"/>
              <w:bottom w:w="0" w:type="dxa"/>
            </w:tcMar>
          </w:tcPr>
          <w:p>
            <w:pPr>
              <w:pStyle w:val="Standard"/>
              <w:widowControl w:val="false"/>
              <w:tabs>
                <w:tab w:val="clear" w:pos="708"/>
                <w:tab w:val="left" w:pos="-720" w:leader="none"/>
                <w:tab w:val="center" w:pos="4252" w:leader="none"/>
                <w:tab w:val="right" w:pos="8504" w:leader="none"/>
              </w:tabs>
              <w:jc w:val="both"/>
              <w:rPr>
                <w:rFonts w:ascii="Arial" w:hAnsi="Arial" w:cs="Calibri"/>
                <w:b/>
                <w:bCs/>
              </w:rPr>
            </w:pPr>
            <w:r>
              <w:rPr>
                <w:rFonts w:cs="Calibri" w:ascii="Arial" w:hAnsi="Arial"/>
                <w:b/>
                <w:bCs/>
              </w:rPr>
            </w:r>
          </w:p>
        </w:tc>
        <w:tc>
          <w:tcPr>
            <w:tcW w:w="2495" w:type="dxa"/>
            <w:tcBorders>
              <w:top w:val="single" w:sz="4" w:space="0" w:color="000000"/>
              <w:left w:val="single" w:sz="4" w:space="0" w:color="000000"/>
              <w:bottom w:val="single" w:sz="4" w:space="0" w:color="000000"/>
              <w:right w:val="single" w:sz="4" w:space="0" w:color="000000"/>
            </w:tcBorders>
            <w:tcMar>
              <w:top w:w="0" w:type="dxa"/>
              <w:bottom w:w="0" w:type="dxa"/>
            </w:tcMar>
          </w:tcPr>
          <w:p>
            <w:pPr>
              <w:pStyle w:val="Standard"/>
              <w:widowControl w:val="false"/>
              <w:tabs>
                <w:tab w:val="clear" w:pos="708"/>
                <w:tab w:val="left" w:pos="-720" w:leader="none"/>
                <w:tab w:val="center" w:pos="4252" w:leader="none"/>
                <w:tab w:val="right" w:pos="8504" w:leader="none"/>
              </w:tabs>
              <w:jc w:val="right"/>
              <w:rPr>
                <w:rFonts w:ascii="Arial" w:hAnsi="Arial" w:cs="Calibri"/>
                <w:b/>
                <w:bCs/>
              </w:rPr>
            </w:pPr>
            <w:r>
              <w:rPr>
                <w:rFonts w:cs="Calibri" w:ascii="Arial" w:hAnsi="Arial"/>
                <w:b/>
                <w:bCs/>
              </w:rPr>
            </w:r>
          </w:p>
        </w:tc>
      </w:tr>
      <w:tr>
        <w:trPr>
          <w:trHeight w:val="1" w:hRule="exact"/>
        </w:trPr>
        <w:tc>
          <w:tcPr>
            <w:tcW w:w="5838" w:type="dxa"/>
            <w:tcBorders>
              <w:top w:val="single" w:sz="4" w:space="0" w:color="000000"/>
              <w:left w:val="single" w:sz="4" w:space="0" w:color="000000"/>
              <w:bottom w:val="single" w:sz="4" w:space="0" w:color="000000"/>
              <w:right w:val="single" w:sz="4" w:space="0" w:color="000000"/>
            </w:tcBorders>
            <w:tcMar>
              <w:top w:w="0" w:type="dxa"/>
              <w:bottom w:w="0" w:type="dxa"/>
            </w:tcMar>
          </w:tcPr>
          <w:p>
            <w:pPr>
              <w:pStyle w:val="Standard"/>
              <w:widowControl w:val="false"/>
              <w:tabs>
                <w:tab w:val="clear" w:pos="708"/>
                <w:tab w:val="left" w:pos="-720" w:leader="none"/>
                <w:tab w:val="center" w:pos="4252" w:leader="none"/>
                <w:tab w:val="right" w:pos="8504" w:leader="none"/>
              </w:tabs>
              <w:jc w:val="both"/>
              <w:rPr>
                <w:rFonts w:ascii="Arial" w:hAnsi="Arial" w:cs="Calibri"/>
                <w:b/>
                <w:bCs/>
              </w:rPr>
            </w:pPr>
            <w:r>
              <w:rPr>
                <w:rFonts w:cs="Calibri" w:ascii="Arial" w:hAnsi="Arial"/>
                <w:b/>
                <w:bCs/>
              </w:rPr>
            </w:r>
          </w:p>
        </w:tc>
        <w:tc>
          <w:tcPr>
            <w:tcW w:w="2495" w:type="dxa"/>
            <w:tcBorders>
              <w:top w:val="single" w:sz="4" w:space="0" w:color="000000"/>
              <w:left w:val="single" w:sz="4" w:space="0" w:color="000000"/>
              <w:bottom w:val="single" w:sz="4" w:space="0" w:color="000000"/>
              <w:right w:val="single" w:sz="4" w:space="0" w:color="000000"/>
            </w:tcBorders>
            <w:tcMar>
              <w:top w:w="0" w:type="dxa"/>
              <w:bottom w:w="0" w:type="dxa"/>
            </w:tcMar>
          </w:tcPr>
          <w:p>
            <w:pPr>
              <w:pStyle w:val="Standard"/>
              <w:widowControl w:val="false"/>
              <w:tabs>
                <w:tab w:val="clear" w:pos="708"/>
                <w:tab w:val="left" w:pos="-720" w:leader="none"/>
                <w:tab w:val="center" w:pos="4252" w:leader="none"/>
                <w:tab w:val="right" w:pos="8504" w:leader="none"/>
              </w:tabs>
              <w:jc w:val="right"/>
              <w:rPr>
                <w:rFonts w:ascii="Arial" w:hAnsi="Arial" w:cs="Calibri"/>
                <w:b/>
                <w:bCs/>
              </w:rPr>
            </w:pPr>
            <w:r>
              <w:rPr>
                <w:rFonts w:cs="Calibri" w:ascii="Arial" w:hAnsi="Arial"/>
                <w:b/>
                <w:bCs/>
              </w:rPr>
            </w:r>
          </w:p>
        </w:tc>
      </w:tr>
      <w:tr>
        <w:trPr>
          <w:trHeight w:val="1" w:hRule="exact"/>
        </w:trPr>
        <w:tc>
          <w:tcPr>
            <w:tcW w:w="5838" w:type="dxa"/>
            <w:tcBorders>
              <w:top w:val="single" w:sz="4" w:space="0" w:color="000000"/>
              <w:left w:val="single" w:sz="4" w:space="0" w:color="000000"/>
              <w:bottom w:val="single" w:sz="4" w:space="0" w:color="000000"/>
              <w:right w:val="single" w:sz="4" w:space="0" w:color="000000"/>
            </w:tcBorders>
            <w:tcMar>
              <w:top w:w="0" w:type="dxa"/>
              <w:bottom w:w="0" w:type="dxa"/>
            </w:tcMar>
          </w:tcPr>
          <w:p>
            <w:pPr>
              <w:pStyle w:val="Standard"/>
              <w:widowControl w:val="false"/>
              <w:tabs>
                <w:tab w:val="clear" w:pos="708"/>
                <w:tab w:val="left" w:pos="-720" w:leader="none"/>
                <w:tab w:val="center" w:pos="4252" w:leader="none"/>
                <w:tab w:val="right" w:pos="8504" w:leader="none"/>
              </w:tabs>
              <w:jc w:val="both"/>
              <w:rPr>
                <w:rFonts w:ascii="Arial" w:hAnsi="Arial" w:cs="Calibri"/>
                <w:b/>
                <w:bCs/>
              </w:rPr>
            </w:pPr>
            <w:r>
              <w:rPr>
                <w:rFonts w:cs="Calibri" w:ascii="Arial" w:hAnsi="Arial"/>
                <w:b/>
                <w:bCs/>
              </w:rPr>
            </w:r>
          </w:p>
        </w:tc>
        <w:tc>
          <w:tcPr>
            <w:tcW w:w="2495" w:type="dxa"/>
            <w:tcBorders>
              <w:top w:val="single" w:sz="4" w:space="0" w:color="000000"/>
              <w:left w:val="single" w:sz="4" w:space="0" w:color="000000"/>
              <w:bottom w:val="single" w:sz="4" w:space="0" w:color="000000"/>
              <w:right w:val="single" w:sz="4" w:space="0" w:color="000000"/>
            </w:tcBorders>
            <w:tcMar>
              <w:top w:w="0" w:type="dxa"/>
              <w:bottom w:w="0" w:type="dxa"/>
            </w:tcMar>
          </w:tcPr>
          <w:p>
            <w:pPr>
              <w:pStyle w:val="Standard"/>
              <w:widowControl w:val="false"/>
              <w:tabs>
                <w:tab w:val="clear" w:pos="708"/>
                <w:tab w:val="left" w:pos="-720" w:leader="none"/>
                <w:tab w:val="center" w:pos="4252" w:leader="none"/>
                <w:tab w:val="right" w:pos="8504" w:leader="none"/>
              </w:tabs>
              <w:jc w:val="right"/>
              <w:rPr>
                <w:rFonts w:ascii="Arial" w:hAnsi="Arial" w:cs="Calibri"/>
                <w:b/>
                <w:bCs/>
              </w:rPr>
            </w:pPr>
            <w:r>
              <w:rPr>
                <w:rFonts w:cs="Calibri" w:ascii="Arial" w:hAnsi="Arial"/>
                <w:b/>
                <w:bCs/>
              </w:rPr>
            </w:r>
          </w:p>
        </w:tc>
      </w:tr>
      <w:tr>
        <w:trPr/>
        <w:tc>
          <w:tcPr>
            <w:tcW w:w="58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rPr>
                <w:rFonts w:ascii="Arial" w:hAnsi="Arial" w:cs="Calibri"/>
                <w:b/>
                <w:bCs/>
              </w:rPr>
            </w:pPr>
            <w:r>
              <w:rPr>
                <w:rFonts w:cs="Calibri" w:ascii="Arial" w:hAnsi="Arial"/>
                <w:b/>
                <w:bCs/>
              </w:rPr>
              <w:t>TOTAL AJUSTES SEC 2010 (4)</w:t>
            </w:r>
          </w:p>
        </w:tc>
        <w:tc>
          <w:tcPr>
            <w:tcW w:w="2495"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jc w:val="right"/>
              <w:rPr>
                <w:rFonts w:ascii="Arial" w:hAnsi="Arial"/>
              </w:rPr>
            </w:pPr>
            <w:r>
              <w:rPr>
                <w:rFonts w:cs="Calibri" w:ascii="Arial" w:hAnsi="Arial"/>
                <w:b/>
                <w:bCs/>
              </w:rPr>
              <w:t>177.142,09€</w:t>
            </w:r>
          </w:p>
        </w:tc>
      </w:tr>
    </w:tbl>
    <w:p>
      <w:pPr>
        <w:pStyle w:val="Standard"/>
        <w:tabs>
          <w:tab w:val="clear" w:pos="708"/>
          <w:tab w:val="left" w:pos="-720" w:leader="none"/>
        </w:tabs>
        <w:jc w:val="both"/>
        <w:rPr>
          <w:rFonts w:ascii="Arial" w:hAnsi="Arial" w:cs="Calibri"/>
          <w:bCs/>
        </w:rPr>
      </w:pPr>
      <w:r>
        <w:rPr>
          <w:rFonts w:cs="Calibri" w:ascii="Arial" w:hAnsi="Arial"/>
          <w:bCs/>
        </w:rPr>
      </w:r>
    </w:p>
    <w:p>
      <w:pPr>
        <w:pStyle w:val="Standard"/>
        <w:tabs>
          <w:tab w:val="clear" w:pos="708"/>
          <w:tab w:val="left" w:pos="-720" w:leader="none"/>
        </w:tabs>
        <w:jc w:val="both"/>
        <w:rPr>
          <w:rFonts w:ascii="Arial" w:hAnsi="Arial" w:cs="Calibri"/>
          <w:bCs/>
        </w:rPr>
      </w:pPr>
      <w:r>
        <w:rPr>
          <w:rFonts w:cs="Calibri" w:ascii="Arial" w:hAnsi="Arial"/>
          <w:bCs/>
        </w:rPr>
      </w:r>
    </w:p>
    <w:p>
      <w:pPr>
        <w:pStyle w:val="Standard"/>
        <w:tabs>
          <w:tab w:val="clear" w:pos="708"/>
          <w:tab w:val="left" w:pos="-720" w:leader="none"/>
        </w:tabs>
        <w:spacing w:lineRule="auto" w:line="276"/>
        <w:jc w:val="both"/>
        <w:rPr>
          <w:rFonts w:ascii="Arial" w:hAnsi="Arial"/>
        </w:rPr>
      </w:pPr>
      <w:r>
        <w:rPr>
          <w:rFonts w:cs="Calibri" w:ascii="Arial" w:hAnsi="Arial"/>
          <w:bCs/>
        </w:rPr>
        <w:t xml:space="preserve">En definitiva, la </w:t>
      </w:r>
      <w:r>
        <w:rPr>
          <w:rFonts w:cs="Calibri" w:ascii="Arial" w:hAnsi="Arial"/>
          <w:b/>
          <w:bCs/>
        </w:rPr>
        <w:t>Estabilidad Presupuestaria después de ajustes</w:t>
      </w:r>
      <w:r>
        <w:rPr>
          <w:rFonts w:cs="Calibri" w:ascii="Arial" w:hAnsi="Arial"/>
          <w:bCs/>
        </w:rPr>
        <w:t xml:space="preserve"> muestra el siguiente resultado:</w:t>
      </w:r>
    </w:p>
    <w:p>
      <w:pPr>
        <w:pStyle w:val="Standard"/>
        <w:tabs>
          <w:tab w:val="clear" w:pos="708"/>
          <w:tab w:val="left" w:pos="-720" w:leader="none"/>
        </w:tabs>
        <w:spacing w:lineRule="auto" w:line="276"/>
        <w:jc w:val="both"/>
        <w:rPr>
          <w:rFonts w:ascii="Arial" w:hAnsi="Arial" w:cs="Calibri"/>
          <w:bCs/>
        </w:rPr>
      </w:pPr>
      <w:r>
        <w:rPr>
          <w:rFonts w:cs="Calibri" w:ascii="Arial" w:hAnsi="Arial"/>
          <w:bCs/>
        </w:rPr>
      </w:r>
    </w:p>
    <w:tbl>
      <w:tblPr>
        <w:tblW w:w="8463" w:type="dxa"/>
        <w:jc w:val="left"/>
        <w:tblInd w:w="371" w:type="dxa"/>
        <w:tblLayout w:type="fixed"/>
        <w:tblCellMar>
          <w:top w:w="0" w:type="dxa"/>
          <w:left w:w="108" w:type="dxa"/>
          <w:bottom w:w="0" w:type="dxa"/>
          <w:right w:w="108" w:type="dxa"/>
        </w:tblCellMar>
        <w:tblLook w:firstRow="1" w:noVBand="1" w:lastRow="0" w:firstColumn="1" w:lastColumn="0" w:noHBand="0" w:val="04a0"/>
      </w:tblPr>
      <w:tblGrid>
        <w:gridCol w:w="471"/>
        <w:gridCol w:w="5938"/>
        <w:gridCol w:w="2054"/>
      </w:tblGrid>
      <w:tr>
        <w:trPr/>
        <w:tc>
          <w:tcPr>
            <w:tcW w:w="47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1</w:t>
            </w:r>
          </w:p>
        </w:tc>
        <w:tc>
          <w:tcPr>
            <w:tcW w:w="59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Ingresos no financieros (Cap 1 a 7)</w:t>
            </w:r>
          </w:p>
        </w:tc>
        <w:tc>
          <w:tcPr>
            <w:tcW w:w="205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right"/>
              <w:rPr>
                <w:rFonts w:ascii="Arial" w:hAnsi="Arial"/>
              </w:rPr>
            </w:pPr>
            <w:r>
              <w:rPr>
                <w:rFonts w:ascii="Arial" w:hAnsi="Arial"/>
              </w:rPr>
              <w:t>9.099.060,41</w:t>
            </w:r>
            <w:r>
              <w:rPr>
                <w:rFonts w:cs="Calibri" w:ascii="Arial" w:hAnsi="Arial"/>
                <w:bCs/>
              </w:rPr>
              <w:t>€</w:t>
            </w:r>
          </w:p>
        </w:tc>
      </w:tr>
      <w:tr>
        <w:trPr/>
        <w:tc>
          <w:tcPr>
            <w:tcW w:w="47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2</w:t>
            </w:r>
          </w:p>
        </w:tc>
        <w:tc>
          <w:tcPr>
            <w:tcW w:w="59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Gastos no financieros (Cap 1 a 7)</w:t>
            </w:r>
          </w:p>
        </w:tc>
        <w:tc>
          <w:tcPr>
            <w:tcW w:w="205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right"/>
              <w:rPr>
                <w:rFonts w:ascii="Arial" w:hAnsi="Arial"/>
              </w:rPr>
            </w:pPr>
            <w:r>
              <w:rPr>
                <w:rFonts w:cs="Calibri" w:ascii="Arial" w:hAnsi="Arial"/>
              </w:rPr>
              <w:t xml:space="preserve">- </w:t>
            </w:r>
            <w:r>
              <w:rPr>
                <w:rFonts w:ascii="Arial" w:hAnsi="Arial"/>
              </w:rPr>
              <w:t>9.099.060,41</w:t>
            </w:r>
            <w:r>
              <w:rPr>
                <w:rFonts w:cs="Calibri" w:ascii="Arial" w:hAnsi="Arial"/>
                <w:bCs/>
              </w:rPr>
              <w:t>€</w:t>
            </w:r>
          </w:p>
        </w:tc>
      </w:tr>
      <w:tr>
        <w:trPr/>
        <w:tc>
          <w:tcPr>
            <w:tcW w:w="47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3</w:t>
            </w:r>
          </w:p>
        </w:tc>
        <w:tc>
          <w:tcPr>
            <w:tcW w:w="59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Superávit (+) ó déficit (-) no financiero de la liquidación (1 – 2)</w:t>
            </w:r>
          </w:p>
        </w:tc>
        <w:tc>
          <w:tcPr>
            <w:tcW w:w="205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right"/>
              <w:rPr>
                <w:rFonts w:ascii="Arial" w:hAnsi="Arial" w:cs="Calibri"/>
                <w:bCs/>
              </w:rPr>
            </w:pPr>
            <w:r>
              <w:rPr>
                <w:rFonts w:cs="Calibri" w:ascii="Arial" w:hAnsi="Arial"/>
                <w:bCs/>
              </w:rPr>
              <w:t>0,00 €</w:t>
            </w:r>
          </w:p>
        </w:tc>
      </w:tr>
      <w:tr>
        <w:trPr/>
        <w:tc>
          <w:tcPr>
            <w:tcW w:w="47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4</w:t>
            </w:r>
          </w:p>
        </w:tc>
        <w:tc>
          <w:tcPr>
            <w:tcW w:w="59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Resultado operaciones financieras</w:t>
            </w:r>
          </w:p>
        </w:tc>
        <w:tc>
          <w:tcPr>
            <w:tcW w:w="205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right"/>
              <w:rPr>
                <w:rFonts w:ascii="Arial" w:hAnsi="Arial" w:cs="Calibri"/>
                <w:bCs/>
              </w:rPr>
            </w:pPr>
            <w:r>
              <w:rPr>
                <w:rFonts w:cs="Calibri" w:ascii="Arial" w:hAnsi="Arial"/>
                <w:bCs/>
              </w:rPr>
              <w:t>0,00 €</w:t>
            </w:r>
          </w:p>
        </w:tc>
      </w:tr>
      <w:tr>
        <w:trPr/>
        <w:tc>
          <w:tcPr>
            <w:tcW w:w="47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5</w:t>
            </w:r>
          </w:p>
        </w:tc>
        <w:tc>
          <w:tcPr>
            <w:tcW w:w="59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Ajustes (SEC 2010)</w:t>
            </w:r>
          </w:p>
        </w:tc>
        <w:tc>
          <w:tcPr>
            <w:tcW w:w="205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right"/>
              <w:rPr>
                <w:rFonts w:ascii="Arial" w:hAnsi="Arial"/>
              </w:rPr>
            </w:pPr>
            <w:r>
              <w:rPr>
                <w:rFonts w:cs="Calibri" w:ascii="Arial" w:hAnsi="Arial"/>
                <w:bCs/>
              </w:rPr>
              <w:t>+ 177.142,09 €</w:t>
            </w:r>
          </w:p>
        </w:tc>
      </w:tr>
      <w:tr>
        <w:trPr/>
        <w:tc>
          <w:tcPr>
            <w:tcW w:w="47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6</w:t>
            </w:r>
          </w:p>
        </w:tc>
        <w:tc>
          <w:tcPr>
            <w:tcW w:w="59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Capacidad (+) ó necesidad (-) de financiación (3 + 5)</w:t>
            </w:r>
          </w:p>
        </w:tc>
        <w:tc>
          <w:tcPr>
            <w:tcW w:w="205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right"/>
              <w:rPr>
                <w:rFonts w:ascii="Arial" w:hAnsi="Arial"/>
              </w:rPr>
            </w:pPr>
            <w:r>
              <w:rPr>
                <w:rFonts w:cs="Calibri" w:ascii="Arial" w:hAnsi="Arial"/>
                <w:b/>
                <w:bCs/>
              </w:rPr>
              <w:t>177.142,09 €</w:t>
            </w:r>
          </w:p>
        </w:tc>
      </w:tr>
      <w:tr>
        <w:trPr/>
        <w:tc>
          <w:tcPr>
            <w:tcW w:w="471"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r>
          </w:p>
        </w:tc>
        <w:tc>
          <w:tcPr>
            <w:tcW w:w="5938"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both"/>
              <w:rPr>
                <w:rFonts w:ascii="Arial" w:hAnsi="Arial" w:cs="Calibri"/>
                <w:bCs/>
              </w:rPr>
            </w:pPr>
            <w:r>
              <w:rPr>
                <w:rFonts w:cs="Calibri" w:ascii="Arial" w:hAnsi="Arial"/>
                <w:bCs/>
              </w:rPr>
              <w:t>En porcentaje de ingresos no financieros (6/1)</w:t>
            </w:r>
          </w:p>
        </w:tc>
        <w:tc>
          <w:tcPr>
            <w:tcW w:w="2054" w:type="dxa"/>
            <w:tcBorders>
              <w:top w:val="single" w:sz="4" w:space="0" w:color="000000"/>
              <w:left w:val="single" w:sz="4" w:space="0" w:color="000000"/>
              <w:bottom w:val="single" w:sz="4" w:space="0" w:color="000000"/>
              <w:right w:val="single" w:sz="4" w:space="0" w:color="000000"/>
            </w:tcBorders>
          </w:tcPr>
          <w:p>
            <w:pPr>
              <w:pStyle w:val="Standard"/>
              <w:widowControl w:val="false"/>
              <w:tabs>
                <w:tab w:val="clear" w:pos="708"/>
                <w:tab w:val="left" w:pos="-720" w:leader="none"/>
                <w:tab w:val="center" w:pos="4252" w:leader="none"/>
                <w:tab w:val="right" w:pos="8504" w:leader="none"/>
              </w:tabs>
              <w:spacing w:lineRule="auto" w:line="276"/>
              <w:jc w:val="right"/>
              <w:rPr>
                <w:rFonts w:ascii="Arial" w:hAnsi="Arial"/>
              </w:rPr>
            </w:pPr>
            <w:r>
              <w:rPr>
                <w:rFonts w:cs="Calibri" w:ascii="Arial" w:hAnsi="Arial"/>
                <w:b/>
                <w:bCs/>
              </w:rPr>
              <w:t>1,9%</w:t>
            </w:r>
          </w:p>
        </w:tc>
      </w:tr>
    </w:tbl>
    <w:p>
      <w:pPr>
        <w:pStyle w:val="Standard"/>
        <w:tabs>
          <w:tab w:val="clear" w:pos="708"/>
          <w:tab w:val="left" w:pos="-720" w:leader="none"/>
        </w:tabs>
        <w:spacing w:lineRule="auto" w:line="276"/>
        <w:jc w:val="both"/>
        <w:rPr>
          <w:rFonts w:ascii="Arial" w:hAnsi="Arial" w:cs="Calibri"/>
          <w:bCs/>
        </w:rPr>
      </w:pPr>
      <w:r>
        <w:rPr>
          <w:rFonts w:cs="Calibri" w:ascii="Arial" w:hAnsi="Arial"/>
          <w:bCs/>
        </w:rPr>
      </w:r>
    </w:p>
    <w:p>
      <w:pPr>
        <w:pStyle w:val="PlainText"/>
        <w:spacing w:lineRule="auto" w:line="276"/>
        <w:jc w:val="both"/>
        <w:rPr>
          <w:rFonts w:ascii="Arial" w:hAnsi="Arial"/>
        </w:rPr>
      </w:pPr>
      <w:r>
        <w:rPr>
          <w:rFonts w:eastAsia="MS Mincho" w:cs="Calibri" w:ascii="Arial" w:hAnsi="Arial"/>
        </w:rPr>
        <w:t xml:space="preserve">Por lo que debe concluirse que el Presupuesto 2026, conforme a los estados iniciales, muestra una </w:t>
      </w:r>
      <w:r>
        <w:rPr>
          <w:rFonts w:eastAsia="MS Mincho" w:cs="Calibri" w:ascii="Arial" w:hAnsi="Arial"/>
          <w:b/>
          <w:bCs/>
        </w:rPr>
        <w:t>capacidad</w:t>
      </w:r>
      <w:r>
        <w:rPr>
          <w:rFonts w:eastAsia="MS Mincho" w:cs="Calibri" w:ascii="Arial" w:hAnsi="Arial"/>
          <w:b/>
        </w:rPr>
        <w:t xml:space="preserve"> de financiación,</w:t>
      </w:r>
      <w:r>
        <w:rPr>
          <w:rFonts w:eastAsia="MS Mincho" w:cs="Calibri" w:ascii="Arial" w:hAnsi="Arial"/>
        </w:rPr>
        <w:t xml:space="preserve"> a priori, de </w:t>
      </w:r>
      <w:r>
        <w:rPr>
          <w:rFonts w:eastAsia="MS Mincho" w:cs="Calibri" w:ascii="Arial" w:hAnsi="Arial"/>
          <w:b/>
          <w:bCs/>
        </w:rPr>
        <w:t>177.142,09</w:t>
      </w:r>
      <w:r>
        <w:rPr>
          <w:rFonts w:eastAsia="MS Mincho" w:cs="Calibri" w:ascii="Arial" w:hAnsi="Arial"/>
          <w:b/>
        </w:rPr>
        <w:t>€.</w:t>
      </w:r>
    </w:p>
    <w:p>
      <w:pPr>
        <w:pStyle w:val="PlainText"/>
        <w:spacing w:lineRule="auto" w:line="276"/>
        <w:ind w:firstLine="708"/>
        <w:jc w:val="both"/>
        <w:rPr>
          <w:rFonts w:ascii="Arial" w:hAnsi="Arial" w:eastAsia="MS Mincho" w:cs="Calibri"/>
        </w:rPr>
      </w:pPr>
      <w:r>
        <w:rPr>
          <w:rFonts w:eastAsia="MS Mincho" w:cs="Calibri" w:ascii="Arial" w:hAnsi="Arial"/>
        </w:rPr>
        <w:tab/>
        <w:tab/>
        <w:tab/>
        <w:tab/>
        <w:tab/>
        <w:tab/>
        <w:tab/>
        <w:tab/>
      </w:r>
    </w:p>
    <w:p>
      <w:pPr>
        <w:pStyle w:val="Standard"/>
        <w:spacing w:lineRule="auto" w:line="276"/>
        <w:jc w:val="both"/>
        <w:rPr>
          <w:rFonts w:ascii="Arial" w:hAnsi="Arial" w:eastAsia="MS Mincho" w:cs="Calibri"/>
          <w:b/>
        </w:rPr>
      </w:pPr>
      <w:r>
        <w:rPr>
          <w:rFonts w:eastAsia="MS Mincho" w:cs="Calibri" w:ascii="Arial" w:hAnsi="Arial"/>
          <w:b/>
        </w:rPr>
      </w:r>
    </w:p>
    <w:p>
      <w:pPr>
        <w:pStyle w:val="Standard"/>
        <w:spacing w:lineRule="auto" w:line="276"/>
        <w:jc w:val="both"/>
        <w:rPr>
          <w:rFonts w:ascii="Arial" w:hAnsi="Arial" w:eastAsia="MS Mincho" w:cs="Calibri"/>
          <w:b/>
        </w:rPr>
      </w:pPr>
      <w:r>
        <w:rPr>
          <w:rFonts w:eastAsia="MS Mincho" w:cs="Calibri" w:ascii="Arial" w:hAnsi="Arial"/>
          <w:b/>
        </w:rPr>
      </w:r>
    </w:p>
    <w:p>
      <w:pPr>
        <w:pStyle w:val="Standard"/>
        <w:spacing w:lineRule="auto" w:line="276"/>
        <w:jc w:val="both"/>
        <w:rPr>
          <w:rFonts w:ascii="Arial" w:hAnsi="Arial" w:eastAsia="MS Mincho" w:cs="Calibri"/>
          <w:b/>
        </w:rPr>
      </w:pPr>
      <w:r>
        <w:rPr>
          <w:rFonts w:eastAsia="MS Mincho" w:cs="Calibri" w:ascii="Arial" w:hAnsi="Arial"/>
          <w:b/>
        </w:rPr>
      </w:r>
    </w:p>
    <w:p>
      <w:pPr>
        <w:pStyle w:val="Standard"/>
        <w:spacing w:lineRule="auto" w:line="276"/>
        <w:jc w:val="both"/>
        <w:rPr>
          <w:rFonts w:ascii="Arial" w:hAnsi="Arial" w:eastAsia="MS Mincho" w:cs="Calibri"/>
          <w:b/>
        </w:rPr>
      </w:pPr>
      <w:r>
        <w:rPr>
          <w:rFonts w:eastAsia="MS Mincho" w:cs="Calibri" w:ascii="Arial" w:hAnsi="Arial"/>
          <w:b/>
        </w:rPr>
      </w:r>
    </w:p>
    <w:p>
      <w:pPr>
        <w:pStyle w:val="Standard"/>
        <w:spacing w:lineRule="auto" w:line="276"/>
        <w:jc w:val="both"/>
        <w:rPr>
          <w:rFonts w:ascii="Arial" w:hAnsi="Arial" w:eastAsia="MS Mincho" w:cs="Calibri"/>
          <w:b/>
        </w:rPr>
      </w:pPr>
      <w:r>
        <w:rPr>
          <w:rFonts w:eastAsia="MS Mincho" w:cs="Calibri" w:ascii="Arial" w:hAnsi="Arial"/>
          <w:b/>
        </w:rPr>
      </w:r>
    </w:p>
    <w:p>
      <w:pPr>
        <w:pStyle w:val="Standard"/>
        <w:spacing w:lineRule="auto" w:line="276"/>
        <w:jc w:val="both"/>
        <w:rPr>
          <w:rFonts w:ascii="Arial" w:hAnsi="Arial" w:eastAsia="MS Mincho" w:cs="Calibri"/>
          <w:b/>
        </w:rPr>
      </w:pPr>
      <w:r>
        <w:rPr>
          <w:rFonts w:eastAsia="MS Mincho" w:cs="Calibri" w:ascii="Arial" w:hAnsi="Arial"/>
          <w:b/>
        </w:rPr>
      </w:r>
    </w:p>
    <w:p>
      <w:pPr>
        <w:pStyle w:val="Standard"/>
        <w:spacing w:lineRule="auto" w:line="276"/>
        <w:jc w:val="both"/>
        <w:rPr>
          <w:rFonts w:ascii="Arial" w:hAnsi="Arial" w:eastAsia="MS Mincho" w:cs="Calibri"/>
          <w:b/>
        </w:rPr>
      </w:pPr>
      <w:r>
        <w:rPr>
          <w:rFonts w:eastAsia="MS Mincho" w:cs="Calibri" w:ascii="Arial" w:hAnsi="Arial"/>
          <w:b/>
        </w:rPr>
      </w:r>
    </w:p>
    <w:p>
      <w:pPr>
        <w:pStyle w:val="Standard"/>
        <w:spacing w:lineRule="auto" w:line="276"/>
        <w:jc w:val="both"/>
        <w:rPr>
          <w:rFonts w:ascii="Arial" w:hAnsi="Arial"/>
        </w:rPr>
      </w:pPr>
      <w:r>
        <w:rPr>
          <w:rFonts w:eastAsia="MS Mincho" w:cs="Calibri" w:ascii="Arial" w:hAnsi="Arial"/>
          <w:b/>
        </w:rPr>
        <w:t>SEXTO.- SOSTENIBILIDAD FINANCIERA</w:t>
      </w:r>
    </w:p>
    <w:p>
      <w:pPr>
        <w:pStyle w:val="Standard"/>
        <w:spacing w:lineRule="auto" w:line="276" w:before="240" w:after="240"/>
        <w:jc w:val="both"/>
        <w:rPr>
          <w:rFonts w:ascii="Arial" w:hAnsi="Arial" w:eastAsia="Verdana" w:cs="Verdana"/>
        </w:rPr>
      </w:pPr>
      <w:r>
        <w:rPr>
          <w:rFonts w:eastAsia="Verdana" w:cs="Verdana" w:ascii="Arial" w:hAnsi="Arial"/>
        </w:rPr>
        <w:t>Igualmente les es de aplicación a los Presupuestos de las Entidades Locales el principio de sostenibilidad financiera, pues desconocer el objetivo de deuda pública a las Entidades Locales individualmente consideradas, no implica renunciar a la prudencia en la gestión financiera, siendo plenamente aplicable el principio de sostenibilidad financiera, en términos de deuda financiera.</w:t>
      </w:r>
    </w:p>
    <w:p>
      <w:pPr>
        <w:pStyle w:val="Standard"/>
        <w:spacing w:lineRule="auto" w:line="276" w:before="240" w:after="240"/>
        <w:jc w:val="both"/>
        <w:rPr>
          <w:rFonts w:ascii="Arial" w:hAnsi="Arial" w:eastAsia="Verdana" w:cs="Verdana"/>
        </w:rPr>
      </w:pPr>
      <w:r>
        <w:rPr>
          <w:rFonts w:eastAsia="Verdana" w:cs="Verdana" w:ascii="Arial" w:hAnsi="Arial"/>
        </w:rPr>
        <w:t>La deuda financiera debe medirse en términos de volumen de deuda viva y del límite de endeudamiento a efectos del régimen de autorización de nuevas operaciones de crédito establecido en los artículos 52 y 53 del Texto Refundido de la Ley Reguladora de las Haciendas Locales, aprobado por el Real Decreto Legislativo 2/2004, de 5 de marzo y la Disposición Final 31ª de la Ley 17/2012, de 27 de diciembre, de presupuestos generales del Estado para el año 2013.</w:t>
      </w:r>
    </w:p>
    <w:p>
      <w:pPr>
        <w:pStyle w:val="Standard"/>
        <w:spacing w:lineRule="auto" w:line="276" w:before="240" w:after="240"/>
        <w:jc w:val="both"/>
        <w:rPr>
          <w:rFonts w:ascii="Arial" w:hAnsi="Arial" w:eastAsia="Verdana" w:cs="Verdana"/>
        </w:rPr>
      </w:pPr>
      <w:r>
        <w:rPr>
          <w:rFonts w:eastAsia="Verdana" w:cs="Verdana" w:ascii="Arial" w:hAnsi="Arial"/>
        </w:rPr>
        <w:t>A efectos de determinar el límite de endeudamiento, el total de la deuda viva a efectos del régimen de autorización se detalla en:</w:t>
      </w:r>
    </w:p>
    <w:p>
      <w:pPr>
        <w:pStyle w:val="Standard"/>
        <w:numPr>
          <w:ilvl w:val="0"/>
          <w:numId w:val="4"/>
        </w:numPr>
        <w:spacing w:lineRule="auto" w:line="276" w:before="0" w:after="120"/>
        <w:ind w:left="777" w:hanging="57"/>
        <w:jc w:val="both"/>
        <w:rPr>
          <w:rFonts w:ascii="Arial" w:hAnsi="Arial" w:eastAsia="Verdana" w:cs="Verdana"/>
        </w:rPr>
      </w:pPr>
      <w:r>
        <w:rPr>
          <w:rFonts w:eastAsia="Verdana" w:cs="Verdana" w:ascii="Arial" w:hAnsi="Arial"/>
        </w:rPr>
        <w:t xml:space="preserve">Deuda a efectos del Protocolo de Déficit Excesivo, incluida la deuda a corto plazo y la deuda a largo plazo, desagregando entre: emisiones de deuda, operaciones con entidades de crédito, </w:t>
      </w:r>
      <w:r>
        <w:rPr>
          <w:rFonts w:eastAsia="Verdana" w:cs="Verdana" w:ascii="Arial" w:hAnsi="Arial"/>
          <w:i/>
          <w:iCs/>
        </w:rPr>
        <w:t>factoring</w:t>
      </w:r>
      <w:r>
        <w:rPr>
          <w:rFonts w:eastAsia="Verdana" w:cs="Verdana" w:ascii="Arial" w:hAnsi="Arial"/>
        </w:rPr>
        <w:t xml:space="preserve"> sin recurso, deudas con administraciones Públicas (FFEL), arrendamiento financiero, asociaciones público-privadas, pagos aplazados con operaciones con terceros y otras operaciones de crédito.</w:t>
      </w:r>
    </w:p>
    <w:p>
      <w:pPr>
        <w:pStyle w:val="Standard"/>
        <w:numPr>
          <w:ilvl w:val="0"/>
          <w:numId w:val="45"/>
        </w:numPr>
        <w:spacing w:lineRule="auto" w:line="276" w:before="0" w:after="120"/>
        <w:ind w:left="777" w:hanging="57"/>
        <w:jc w:val="both"/>
        <w:rPr>
          <w:rFonts w:ascii="Arial" w:hAnsi="Arial" w:eastAsia="Verdana" w:cs="Verdana"/>
        </w:rPr>
      </w:pPr>
      <w:r>
        <w:rPr>
          <w:rFonts w:eastAsia="Verdana" w:cs="Verdana" w:ascii="Arial" w:hAnsi="Arial"/>
        </w:rPr>
        <w:t>Riesgo deducido de Avales</w:t>
      </w:r>
    </w:p>
    <w:p>
      <w:pPr>
        <w:pStyle w:val="Standard"/>
        <w:numPr>
          <w:ilvl w:val="0"/>
          <w:numId w:val="46"/>
        </w:numPr>
        <w:spacing w:lineRule="auto" w:line="276" w:before="0" w:after="120"/>
        <w:ind w:left="777" w:hanging="57"/>
        <w:jc w:val="both"/>
        <w:rPr>
          <w:rFonts w:ascii="Arial" w:hAnsi="Arial" w:eastAsia="Verdana" w:cs="Verdana"/>
        </w:rPr>
      </w:pPr>
      <w:r>
        <w:rPr>
          <w:rFonts w:eastAsia="Verdana" w:cs="Verdana" w:ascii="Arial" w:hAnsi="Arial"/>
        </w:rPr>
        <w:t>Operaciones formalizadas disponibles no dispuestas</w:t>
      </w:r>
    </w:p>
    <w:p>
      <w:pPr>
        <w:pStyle w:val="Standard"/>
        <w:numPr>
          <w:ilvl w:val="0"/>
          <w:numId w:val="47"/>
        </w:numPr>
        <w:spacing w:lineRule="auto" w:line="276" w:before="0" w:after="120"/>
        <w:ind w:left="777" w:hanging="57"/>
        <w:jc w:val="both"/>
        <w:rPr>
          <w:rFonts w:ascii="Arial" w:hAnsi="Arial" w:eastAsia="Verdana" w:cs="Verdana"/>
        </w:rPr>
      </w:pPr>
      <w:r>
        <w:rPr>
          <w:rFonts w:eastAsia="Verdana" w:cs="Verdana" w:ascii="Arial" w:hAnsi="Arial"/>
        </w:rPr>
        <w:t>Deuda con Administraciones públicas distinta a la incluida en el FFEL</w:t>
      </w:r>
    </w:p>
    <w:p>
      <w:pPr>
        <w:pStyle w:val="Standard"/>
        <w:numPr>
          <w:ilvl w:val="0"/>
          <w:numId w:val="48"/>
        </w:numPr>
        <w:spacing w:lineRule="auto" w:line="276" w:before="0" w:after="120"/>
        <w:ind w:left="777" w:hanging="57"/>
        <w:jc w:val="both"/>
        <w:rPr>
          <w:rFonts w:ascii="Arial" w:hAnsi="Arial" w:eastAsia="Verdana" w:cs="Verdana"/>
        </w:rPr>
      </w:pPr>
      <w:r>
        <w:rPr>
          <w:rFonts w:eastAsia="Verdana" w:cs="Verdana" w:ascii="Arial" w:hAnsi="Arial"/>
        </w:rPr>
        <w:t>Importe de operaciones proyectadas o formalizadas</w:t>
      </w:r>
    </w:p>
    <w:p>
      <w:pPr>
        <w:pStyle w:val="Standard"/>
        <w:numPr>
          <w:ilvl w:val="0"/>
          <w:numId w:val="49"/>
        </w:numPr>
        <w:spacing w:lineRule="auto" w:line="276" w:before="0" w:after="120"/>
        <w:ind w:left="777" w:hanging="57"/>
        <w:jc w:val="both"/>
        <w:rPr>
          <w:rFonts w:ascii="Arial" w:hAnsi="Arial" w:eastAsia="Verdana" w:cs="Verdana"/>
        </w:rPr>
      </w:pPr>
      <w:r>
        <w:rPr>
          <w:rFonts w:eastAsia="Verdana" w:cs="Verdana" w:ascii="Arial" w:hAnsi="Arial"/>
        </w:rPr>
        <w:t>Otras deudas</w:t>
      </w:r>
    </w:p>
    <w:p>
      <w:pPr>
        <w:pStyle w:val="Standard"/>
        <w:spacing w:lineRule="auto" w:line="276" w:before="240" w:after="240"/>
        <w:jc w:val="both"/>
        <w:rPr>
          <w:rFonts w:ascii="Arial" w:hAnsi="Arial" w:eastAsia="Verdana" w:cs="Verdana"/>
        </w:rPr>
      </w:pPr>
      <w:r>
        <w:rPr>
          <w:rFonts w:eastAsia="Verdana" w:cs="Verdana" w:ascii="Arial" w:hAnsi="Arial"/>
        </w:rPr>
        <w:t>Dicho cálculo de la deuda financiera, tal y como dispone el artículo 15 de la Orden HAP/2105/2012, de 1 de octubre, por la que se desarrollan las obligaciones de suministro de información previstas en la Ley Orgánica 2/2012, de 27 de abril, de Estabilidad Presupuestaria y Sostenibilidad Financiera, debe efectuarse anualmente, con ocasión de la aprobación del presupuesto y su liquidación.</w:t>
      </w:r>
    </w:p>
    <w:p>
      <w:pPr>
        <w:pStyle w:val="PlainText"/>
        <w:spacing w:lineRule="auto" w:line="276"/>
        <w:jc w:val="both"/>
        <w:rPr>
          <w:rFonts w:ascii="Arial" w:hAnsi="Arial"/>
        </w:rPr>
      </w:pPr>
      <w:r>
        <w:rPr>
          <w:rFonts w:eastAsia="MS Mincho" w:cs="Calibri" w:ascii="Arial" w:hAnsi="Arial"/>
        </w:rPr>
        <w:t xml:space="preserve">El principio de sostenibilidad financiera se articula sobre el cumplimiento del nivel de deuda viva, que no debe superar con carácter general el límite del 75 %. </w:t>
      </w:r>
      <w:r>
        <w:rPr>
          <w:rFonts w:eastAsia="MS Mincho" w:cs="Calibri" w:ascii="Arial" w:hAnsi="Arial"/>
          <w:b/>
        </w:rPr>
        <w:t>La ratio de deuda viva a 31/12/2025</w:t>
      </w:r>
      <w:r>
        <w:rPr>
          <w:rFonts w:eastAsia="MS Mincho" w:cs="Calibri" w:ascii="Arial" w:hAnsi="Arial"/>
        </w:rPr>
        <w:t xml:space="preserve"> sería (de no variar las condiciones de deuda viva) la siguiente:</w:t>
      </w:r>
    </w:p>
    <w:p>
      <w:pPr>
        <w:pStyle w:val="PlainText"/>
        <w:spacing w:lineRule="auto" w:line="276"/>
        <w:jc w:val="both"/>
        <w:rPr>
          <w:rFonts w:ascii="Arial" w:hAnsi="Arial" w:eastAsia="MS Mincho" w:cs="Calibri"/>
        </w:rPr>
      </w:pPr>
      <w:r>
        <w:rPr>
          <w:rFonts w:eastAsia="MS Mincho" w:cs="Calibri" w:ascii="Arial" w:hAnsi="Arial"/>
        </w:rPr>
      </w:r>
    </w:p>
    <w:p>
      <w:pPr>
        <w:pStyle w:val="PlainText"/>
        <w:pBdr>
          <w:top w:val="single" w:sz="4" w:space="1" w:color="000000"/>
          <w:left w:val="single" w:sz="4" w:space="19" w:color="000000"/>
          <w:bottom w:val="single" w:sz="4" w:space="1" w:color="000000"/>
          <w:right w:val="single" w:sz="4" w:space="4" w:color="000000"/>
        </w:pBdr>
        <w:tabs>
          <w:tab w:val="clear" w:pos="708"/>
          <w:tab w:val="left" w:pos="9921" w:leader="none"/>
        </w:tabs>
        <w:spacing w:lineRule="auto" w:line="276"/>
        <w:ind w:left="1416" w:right="1093" w:hanging="0"/>
        <w:jc w:val="center"/>
        <w:rPr>
          <w:rFonts w:ascii="Arial" w:hAnsi="Arial" w:eastAsia="MS Mincho" w:cs="Calibri"/>
        </w:rPr>
      </w:pPr>
      <w:r>
        <w:rPr>
          <w:rFonts w:eastAsia="MS Mincho" w:cs="Calibri" w:ascii="Arial" w:hAnsi="Arial"/>
        </w:rPr>
        <w:t>(Deuda viva / Derechos liquidados ej. anterior) * 100 =</w:t>
      </w:r>
    </w:p>
    <w:p>
      <w:pPr>
        <w:pStyle w:val="PlainText"/>
        <w:pBdr>
          <w:top w:val="single" w:sz="4" w:space="1" w:color="000000"/>
          <w:left w:val="single" w:sz="4" w:space="19" w:color="000000"/>
          <w:bottom w:val="single" w:sz="4" w:space="1" w:color="000000"/>
          <w:right w:val="single" w:sz="4" w:space="4" w:color="000000"/>
        </w:pBdr>
        <w:tabs>
          <w:tab w:val="clear" w:pos="708"/>
          <w:tab w:val="left" w:pos="9921" w:leader="none"/>
        </w:tabs>
        <w:spacing w:lineRule="auto" w:line="276"/>
        <w:ind w:left="1416" w:right="1093" w:hanging="0"/>
        <w:jc w:val="center"/>
        <w:rPr>
          <w:rFonts w:ascii="Arial" w:hAnsi="Arial"/>
        </w:rPr>
      </w:pPr>
      <w:r>
        <w:rPr>
          <w:rFonts w:eastAsia="MS Mincho" w:cs="Calibri" w:ascii="Arial" w:hAnsi="Arial"/>
        </w:rPr>
        <w:t xml:space="preserve">(0,00 / 12.164.705,39) * 100 = </w:t>
      </w:r>
      <w:r>
        <w:rPr>
          <w:rFonts w:eastAsia="MS Mincho" w:cs="Calibri" w:ascii="Arial" w:hAnsi="Arial"/>
          <w:b/>
        </w:rPr>
        <w:t>0,00 %</w:t>
      </w:r>
    </w:p>
    <w:p>
      <w:pPr>
        <w:pStyle w:val="PlainText"/>
        <w:spacing w:lineRule="auto" w:line="276"/>
        <w:ind w:right="1660" w:hanging="0"/>
        <w:jc w:val="both"/>
        <w:rPr>
          <w:rFonts w:ascii="Arial" w:hAnsi="Arial" w:eastAsia="Verdana" w:cs="Verdana"/>
        </w:rPr>
      </w:pPr>
      <w:r>
        <w:rPr>
          <w:rFonts w:eastAsia="Verdana" w:cs="Verdana" w:ascii="Arial" w:hAnsi="Arial"/>
        </w:rPr>
      </w:r>
    </w:p>
    <w:p>
      <w:pPr>
        <w:pStyle w:val="Standard"/>
        <w:spacing w:lineRule="auto" w:line="276" w:before="240" w:after="240"/>
        <w:jc w:val="both"/>
        <w:rPr>
          <w:rFonts w:ascii="Arial" w:hAnsi="Arial"/>
        </w:rPr>
      </w:pPr>
      <w:r>
        <w:rPr>
          <w:rFonts w:eastAsia="Verdana" w:cs="Verdana" w:ascii="Arial" w:hAnsi="Arial"/>
        </w:rPr>
        <w:t xml:space="preserve">No existe deuda en el presente ejercicio 2025. </w:t>
      </w:r>
      <w:r>
        <w:rPr>
          <w:rFonts w:eastAsia="MS Mincho" w:cs="Calibri" w:ascii="Arial" w:hAnsi="Arial"/>
        </w:rPr>
        <w:t>Por consiguiente, el Ayuntamiento cumple con el objetivo de deuda pública.</w:t>
      </w:r>
    </w:p>
    <w:p>
      <w:pPr>
        <w:pStyle w:val="Standard"/>
        <w:spacing w:lineRule="auto" w:line="276"/>
        <w:jc w:val="both"/>
        <w:rPr>
          <w:rFonts w:ascii="Arial" w:hAnsi="Arial"/>
        </w:rPr>
      </w:pPr>
      <w:r>
        <w:rPr>
          <w:rFonts w:ascii="Arial" w:hAnsi="Arial"/>
        </w:rPr>
      </w:r>
    </w:p>
    <w:p>
      <w:pPr>
        <w:pStyle w:val="Standard"/>
        <w:spacing w:lineRule="auto" w:line="276"/>
        <w:jc w:val="both"/>
        <w:rPr>
          <w:rFonts w:ascii="Arial" w:hAnsi="Arial"/>
        </w:rPr>
      </w:pPr>
      <w:r>
        <w:rPr>
          <w:rFonts w:ascii="Arial" w:hAnsi="Arial"/>
        </w:rPr>
      </w:r>
    </w:p>
    <w:p>
      <w:pPr>
        <w:pStyle w:val="Standard"/>
        <w:spacing w:lineRule="auto" w:line="276"/>
        <w:jc w:val="both"/>
        <w:rPr>
          <w:rFonts w:ascii="Arial" w:hAnsi="Arial" w:cs="Calibri"/>
        </w:rPr>
      </w:pPr>
      <w:r>
        <w:rPr>
          <w:rFonts w:cs="Calibri" w:ascii="Arial" w:hAnsi="Arial"/>
        </w:rPr>
      </w:r>
    </w:p>
    <w:p>
      <w:pPr>
        <w:pStyle w:val="PlainText"/>
        <w:spacing w:lineRule="auto" w:line="276"/>
        <w:jc w:val="center"/>
        <w:rPr>
          <w:rFonts w:ascii="Arial" w:hAnsi="Arial" w:eastAsia="MS Mincho" w:cs="Calibri"/>
          <w:b/>
          <w:bCs/>
        </w:rPr>
      </w:pPr>
      <w:r>
        <w:rPr>
          <w:rFonts w:eastAsia="MS Mincho" w:cs="Calibri" w:ascii="Arial" w:hAnsi="Arial"/>
          <w:b/>
          <w:bCs/>
        </w:rPr>
        <w:t>CONCLUSIÓN</w:t>
      </w:r>
    </w:p>
    <w:p>
      <w:pPr>
        <w:pStyle w:val="PlainText"/>
        <w:spacing w:lineRule="auto" w:line="276"/>
        <w:jc w:val="both"/>
        <w:rPr>
          <w:rFonts w:ascii="Arial" w:hAnsi="Arial" w:eastAsia="MS Mincho" w:cs="Calibri"/>
          <w:b/>
        </w:rPr>
      </w:pPr>
      <w:r>
        <w:rPr>
          <w:rFonts w:eastAsia="MS Mincho" w:cs="Calibri" w:ascii="Arial" w:hAnsi="Arial"/>
          <w:b/>
        </w:rPr>
      </w:r>
    </w:p>
    <w:p>
      <w:pPr>
        <w:pStyle w:val="PlainText"/>
        <w:spacing w:lineRule="auto" w:line="276"/>
        <w:jc w:val="both"/>
        <w:rPr>
          <w:rFonts w:ascii="Arial" w:hAnsi="Arial"/>
        </w:rPr>
      </w:pPr>
      <w:r>
        <w:rPr>
          <w:rFonts w:eastAsia="MS Mincho" w:cs="Calibri" w:ascii="Arial" w:hAnsi="Arial"/>
        </w:rPr>
        <w:t>En definitiva, los datos del Presupuesto para el ejercicio 2026 ponen de manifiesto que el Ayuntamiento de la Villa de Firgas:</w:t>
      </w:r>
    </w:p>
    <w:p>
      <w:pPr>
        <w:pStyle w:val="PlainText"/>
        <w:spacing w:lineRule="auto" w:line="276"/>
        <w:jc w:val="both"/>
        <w:rPr>
          <w:rFonts w:ascii="Arial" w:hAnsi="Arial" w:eastAsia="MS Mincho" w:cs="Calibri"/>
        </w:rPr>
      </w:pPr>
      <w:r>
        <w:rPr>
          <w:rFonts w:eastAsia="MS Mincho" w:cs="Calibri" w:ascii="Arial" w:hAnsi="Arial"/>
        </w:rPr>
      </w:r>
    </w:p>
    <w:p>
      <w:pPr>
        <w:pStyle w:val="PlainText"/>
        <w:numPr>
          <w:ilvl w:val="0"/>
          <w:numId w:val="5"/>
        </w:numPr>
        <w:spacing w:lineRule="auto" w:line="276" w:before="0" w:after="240"/>
        <w:jc w:val="both"/>
        <w:rPr>
          <w:rFonts w:ascii="Arial" w:hAnsi="Arial"/>
        </w:rPr>
      </w:pPr>
      <w:r>
        <w:rPr>
          <w:rFonts w:eastAsia="MS Mincho" w:cs="Calibri" w:ascii="Arial" w:hAnsi="Arial"/>
          <w:b/>
        </w:rPr>
        <w:t>CUMPLIRÍA el objetivo de estabilidad presupuestaria</w:t>
      </w:r>
      <w:r>
        <w:rPr>
          <w:rFonts w:eastAsia="MS Mincho" w:cs="Calibri" w:ascii="Arial" w:hAnsi="Arial"/>
        </w:rPr>
        <w:t>.</w:t>
      </w:r>
    </w:p>
    <w:p>
      <w:pPr>
        <w:pStyle w:val="PlainText"/>
        <w:numPr>
          <w:ilvl w:val="0"/>
          <w:numId w:val="50"/>
        </w:numPr>
        <w:spacing w:lineRule="auto" w:line="276" w:before="0" w:after="240"/>
        <w:jc w:val="both"/>
        <w:rPr>
          <w:rFonts w:ascii="Arial" w:hAnsi="Arial"/>
        </w:rPr>
      </w:pPr>
      <w:r>
        <w:rPr>
          <w:rFonts w:eastAsia="MS Mincho" w:cs="Calibri" w:ascii="Arial" w:hAnsi="Arial"/>
          <w:b/>
        </w:rPr>
        <w:t>CUMPLIRÍA el objetivo de sostenibilidad financiera</w:t>
      </w:r>
      <w:r>
        <w:rPr>
          <w:rFonts w:eastAsia="MS Mincho" w:cs="Calibri" w:ascii="Arial" w:hAnsi="Arial"/>
        </w:rPr>
        <w:t>.</w:t>
      </w:r>
    </w:p>
    <w:p>
      <w:pPr>
        <w:pStyle w:val="PlainText"/>
        <w:jc w:val="both"/>
        <w:rPr>
          <w:rFonts w:ascii="Arial" w:hAnsi="Arial" w:eastAsia="MS Mincho" w:cs="Calibri"/>
          <w:b/>
        </w:rPr>
      </w:pPr>
      <w:r>
        <w:rPr>
          <w:rFonts w:eastAsia="MS Mincho" w:cs="Calibri" w:ascii="Arial" w:hAnsi="Arial"/>
          <w:b/>
        </w:rPr>
      </w:r>
    </w:p>
    <w:p>
      <w:pPr>
        <w:pStyle w:val="PlainText"/>
        <w:ind w:firstLine="113"/>
        <w:rPr>
          <w:rFonts w:ascii="Arial" w:hAnsi="Arial" w:eastAsia="MS Mincho" w:cs="Calibri"/>
        </w:rPr>
      </w:pPr>
      <w:r>
        <w:rPr>
          <w:rFonts w:eastAsia="MS Mincho" w:cs="Calibri" w:ascii="Arial" w:hAnsi="Arial"/>
        </w:rPr>
      </w:r>
    </w:p>
    <w:p>
      <w:pPr>
        <w:pStyle w:val="PlainText"/>
        <w:jc w:val="both"/>
        <w:rPr>
          <w:rFonts w:ascii="Arial" w:hAnsi="Arial" w:eastAsia="MS Mincho" w:cs="Calibri"/>
        </w:rPr>
      </w:pPr>
      <w:r>
        <w:rPr>
          <w:rFonts w:eastAsia="MS Mincho" w:cs="Calibri" w:ascii="Arial" w:hAnsi="Arial"/>
        </w:rPr>
        <w:t xml:space="preserve">En la Villa de Firgas, a la fecha que consta al margen. </w:t>
      </w:r>
    </w:p>
    <w:p>
      <w:pPr>
        <w:pStyle w:val="PlainText"/>
        <w:jc w:val="both"/>
        <w:rPr>
          <w:rFonts w:ascii="Arial" w:hAnsi="Arial" w:eastAsia="MS Mincho" w:cs="Calibri"/>
          <w:b/>
          <w:bCs/>
        </w:rPr>
      </w:pPr>
      <w:r>
        <w:rPr>
          <w:rFonts w:eastAsia="MS Mincho" w:cs="Calibri" w:ascii="Arial" w:hAnsi="Arial"/>
          <w:b/>
          <w:bCs/>
        </w:rPr>
      </w:r>
    </w:p>
    <w:p>
      <w:pPr>
        <w:pStyle w:val="PlainText"/>
        <w:jc w:val="center"/>
        <w:rPr>
          <w:rFonts w:ascii="Arial" w:hAnsi="Arial" w:eastAsia="MS Mincho" w:cs="Calibri"/>
          <w:b/>
          <w:bCs/>
        </w:rPr>
      </w:pPr>
      <w:r>
        <w:rPr>
          <w:rFonts w:eastAsia="MS Mincho" w:cs="Calibri" w:ascii="Arial" w:hAnsi="Arial"/>
          <w:b/>
          <w:bCs/>
        </w:rPr>
        <w:t>LA INTERVENTORA MUNICIPAL</w:t>
      </w:r>
    </w:p>
    <w:p>
      <w:pPr>
        <w:pStyle w:val="PlainText"/>
        <w:jc w:val="center"/>
        <w:rPr>
          <w:rFonts w:ascii="Arial" w:hAnsi="Arial" w:eastAsia="MS Mincho" w:cs="Calibri"/>
          <w:b/>
          <w:bCs/>
        </w:rPr>
      </w:pPr>
      <w:r>
        <w:rPr>
          <w:rFonts w:eastAsia="MS Mincho" w:cs="Calibri" w:ascii="Arial" w:hAnsi="Arial"/>
          <w:b/>
          <w:bCs/>
        </w:rPr>
      </w:r>
    </w:p>
    <w:p>
      <w:pPr>
        <w:pStyle w:val="PlainText"/>
        <w:jc w:val="center"/>
        <w:rPr>
          <w:rFonts w:ascii="Arial" w:hAnsi="Arial" w:eastAsia="MS Mincho" w:cs="Calibri"/>
          <w:i/>
          <w:i/>
          <w:iCs/>
        </w:rPr>
      </w:pPr>
      <w:r>
        <w:rPr>
          <w:rFonts w:eastAsia="MS Mincho" w:cs="Calibri" w:ascii="Arial" w:hAnsi="Arial"/>
          <w:i/>
          <w:iCs/>
        </w:rPr>
        <w:t>Documento firmado electrónicamente</w:t>
      </w:r>
    </w:p>
    <w:p>
      <w:pPr>
        <w:pStyle w:val="PlainText"/>
        <w:jc w:val="both"/>
        <w:rPr>
          <w:rFonts w:ascii="Arial" w:hAnsi="Arial" w:eastAsia="MS Mincho" w:cs="Calibri"/>
        </w:rPr>
      </w:pPr>
      <w:r>
        <w:rPr>
          <w:rFonts w:eastAsia="MS Mincho" w:cs="Calibri" w:ascii="Arial" w:hAnsi="Arial"/>
        </w:rPr>
        <w:tab/>
      </w:r>
    </w:p>
    <w:p>
      <w:pPr>
        <w:pStyle w:val="Standard"/>
        <w:rPr>
          <w:rFonts w:ascii="Arial" w:hAnsi="Arial" w:cs="Calibri"/>
        </w:rPr>
      </w:pPr>
      <w:r>
        <w:rPr>
          <w:rFonts w:cs="Calibri" w:ascii="Arial" w:hAnsi="Arial"/>
        </w:rPr>
      </w:r>
    </w:p>
    <w:p>
      <w:pPr>
        <w:pStyle w:val="PlainText"/>
        <w:jc w:val="both"/>
        <w:rPr>
          <w:rFonts w:ascii="Arial" w:hAnsi="Arial"/>
        </w:rPr>
      </w:pPr>
      <w:r>
        <w:rPr/>
      </w:r>
    </w:p>
    <w:sectPr>
      <w:headerReference w:type="default" r:id="rId2"/>
      <w:footerReference w:type="default" r:id="rId3"/>
      <w:type w:val="nextPage"/>
      <w:pgSz w:w="12240" w:h="15840"/>
      <w:pgMar w:left="1701" w:right="1701" w:gutter="0" w:header="624" w:top="1417" w:footer="709" w:bottom="141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swiss"/>
    <w:pitch w:val="variable"/>
  </w:font>
  <w:font w:name="Tahoma">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roman"/>
    <w:pitch w:val="variable"/>
  </w:font>
  <w:font w:name="Courier New">
    <w:charset w:val="00"/>
    <w:family w:val="roman"/>
    <w:pitch w:val="variable"/>
  </w:font>
  <w:font w:name="Verdana">
    <w:charset w:val="00"/>
    <w:family w:val="roman"/>
    <w:pitch w:val="variable"/>
  </w:font>
  <w:font w:name="Wingdings">
    <w:charset w:val="02"/>
    <w:family w:val="auto"/>
    <w:pitch w:val="variable"/>
  </w:font>
  <w:font w:name="Courier New">
    <w:charset w:val="01"/>
    <w:family w:val="modern"/>
    <w:pitch w:val="fixed"/>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color w:val="808080"/>
        <w:sz w:val="16"/>
      </w:rPr>
    </w:pPr>
    <w:r>
      <w:rPr>
        <w:color w:val="808080"/>
        <w:sz w:val="16"/>
      </w:rPr>
    </w:r>
  </w:p>
  <w:p>
    <w:pPr>
      <w:pStyle w:val="Cabecera"/>
      <w:jc w:val="right"/>
      <w:rPr>
        <w:rFonts w:ascii="Arial" w:hAnsi="Arial"/>
        <w:color w:val="808080"/>
        <w:sz w:val="16"/>
        <w:szCs w:val="16"/>
      </w:rPr>
    </w:pPr>
    <w:r>
      <w:rPr>
        <w:rFonts w:ascii="Arial" w:hAnsi="Arial"/>
        <w:color w:val="808080"/>
        <w:sz w:val="16"/>
        <w:szCs w:val="16"/>
      </w:rPr>
      <w:t>INTERVENCIÓN MUNICIPAL</w:t>
    </w:r>
  </w:p>
  <w:p>
    <w:pPr>
      <w:pStyle w:val="Cabecera"/>
      <w:rPr/>
    </w:pPr>
    <w:r>
      <w:rPr/>
      <w:drawing>
        <wp:inline distT="0" distB="0" distL="0" distR="0">
          <wp:extent cx="2059305" cy="668020"/>
          <wp:effectExtent l="0" t="0" r="0" b="0"/>
          <wp:docPr id="1" name="Imagen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Texto&#10;&#10;Descripción generada automáticamente"/>
                  <pic:cNvPicPr>
                    <a:picLocks noChangeAspect="1" noChangeArrowheads="1"/>
                  </pic:cNvPicPr>
                </pic:nvPicPr>
                <pic:blipFill>
                  <a:blip r:embed="rId1"/>
                  <a:stretch>
                    <a:fillRect/>
                  </a:stretch>
                </pic:blipFill>
                <pic:spPr bwMode="auto">
                  <a:xfrm>
                    <a:off x="0" y="0"/>
                    <a:ext cx="2059305" cy="6680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1080" w:hanging="360"/>
      </w:pPr>
      <w:rPr>
        <w:rFonts w:ascii="Symbol" w:hAnsi="Symbol" w:cs="Symbol"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4">
    <w:lvl w:ilvl="0">
      <w:numFmt w:val="bullet"/>
      <w:lvlText w:val=""/>
      <w:lvlJc w:val="center"/>
      <w:pPr>
        <w:tabs>
          <w:tab w:val="num" w:pos="0"/>
        </w:tabs>
        <w:ind w:left="1080" w:hanging="360"/>
      </w:pPr>
      <w:rPr>
        <w:rFonts w:ascii="Symbol" w:hAnsi="Symbol" w:cs="Symbol" w:hint="default"/>
      </w:rPr>
    </w:lvl>
    <w:lvl w:ilvl="1">
      <w:start w:val="0"/>
      <w:numFmt w:val="bullet"/>
      <w:lvlText w:val="o"/>
      <w:lvlJc w:val="center"/>
      <w:pPr>
        <w:tabs>
          <w:tab w:val="num" w:pos="0"/>
        </w:tabs>
        <w:ind w:left="1512" w:hanging="432"/>
      </w:pPr>
      <w:rPr>
        <w:rFonts w:ascii="Courier New" w:hAnsi="Courier New" w:cs="Courier New" w:hint="default"/>
      </w:rPr>
    </w:lvl>
    <w:lvl w:ilvl="2">
      <w:start w:val="0"/>
      <w:numFmt w:val="bullet"/>
      <w:lvlText w:val=""/>
      <w:lvlJc w:val="center"/>
      <w:pPr>
        <w:tabs>
          <w:tab w:val="num" w:pos="0"/>
        </w:tabs>
        <w:ind w:left="1944" w:hanging="504"/>
      </w:pPr>
      <w:rPr>
        <w:rFonts w:ascii="Wingdings" w:hAnsi="Wingdings" w:cs="Wingdings" w:hint="default"/>
      </w:rPr>
    </w:lvl>
    <w:lvl w:ilvl="3">
      <w:start w:val="0"/>
      <w:numFmt w:val="bullet"/>
      <w:lvlText w:val=""/>
      <w:lvlJc w:val="center"/>
      <w:pPr>
        <w:tabs>
          <w:tab w:val="num" w:pos="0"/>
        </w:tabs>
        <w:ind w:left="2448" w:hanging="648"/>
      </w:pPr>
      <w:rPr>
        <w:rFonts w:ascii="Symbol" w:hAnsi="Symbol" w:cs="Symbol" w:hint="default"/>
      </w:rPr>
    </w:lvl>
    <w:lvl w:ilvl="4">
      <w:start w:val="0"/>
      <w:numFmt w:val="bullet"/>
      <w:lvlText w:val="o"/>
      <w:lvlJc w:val="center"/>
      <w:pPr>
        <w:tabs>
          <w:tab w:val="num" w:pos="0"/>
        </w:tabs>
        <w:ind w:left="2952" w:hanging="792"/>
      </w:pPr>
      <w:rPr>
        <w:rFonts w:ascii="Courier New" w:hAnsi="Courier New" w:cs="Courier New" w:hint="default"/>
      </w:rPr>
    </w:lvl>
    <w:lvl w:ilvl="5">
      <w:start w:val="0"/>
      <w:numFmt w:val="bullet"/>
      <w:lvlText w:val=""/>
      <w:lvlJc w:val="center"/>
      <w:pPr>
        <w:tabs>
          <w:tab w:val="num" w:pos="0"/>
        </w:tabs>
        <w:ind w:left="3456" w:hanging="936"/>
      </w:pPr>
      <w:rPr>
        <w:rFonts w:ascii="Wingdings" w:hAnsi="Wingdings" w:cs="Wingdings" w:hint="default"/>
      </w:rPr>
    </w:lvl>
    <w:lvl w:ilvl="6">
      <w:start w:val="0"/>
      <w:numFmt w:val="bullet"/>
      <w:lvlText w:val=""/>
      <w:lvlJc w:val="center"/>
      <w:pPr>
        <w:tabs>
          <w:tab w:val="num" w:pos="0"/>
        </w:tabs>
        <w:ind w:left="3960" w:hanging="1080"/>
      </w:pPr>
      <w:rPr>
        <w:rFonts w:ascii="Symbol" w:hAnsi="Symbol" w:cs="Symbol" w:hint="default"/>
      </w:rPr>
    </w:lvl>
    <w:lvl w:ilvl="7">
      <w:start w:val="0"/>
      <w:numFmt w:val="bullet"/>
      <w:lvlText w:val="o"/>
      <w:lvlJc w:val="center"/>
      <w:pPr>
        <w:tabs>
          <w:tab w:val="num" w:pos="0"/>
        </w:tabs>
        <w:ind w:left="4464" w:hanging="1224"/>
      </w:pPr>
      <w:rPr>
        <w:rFonts w:ascii="Courier New" w:hAnsi="Courier New" w:cs="Courier New" w:hint="default"/>
      </w:rPr>
    </w:lvl>
    <w:lvl w:ilvl="8">
      <w:start w:val="0"/>
      <w:numFmt w:val="bullet"/>
      <w:lvlText w:val=""/>
      <w:lvlJc w:val="center"/>
      <w:pPr>
        <w:tabs>
          <w:tab w:val="num" w:pos="0"/>
        </w:tabs>
        <w:ind w:left="5040" w:hanging="1440"/>
      </w:pPr>
      <w:rPr>
        <w:rFonts w:ascii="Wingdings" w:hAnsi="Wingdings" w:cs="Wingdings" w:hint="default"/>
      </w:rPr>
    </w:lvl>
  </w:abstractNum>
  <w:abstractNum w:abstractNumId="5">
    <w:lvl w:ilvl="0">
      <w:numFmt w:val="bullet"/>
      <w:lvlText w:val="-"/>
      <w:lvlJc w:val="left"/>
      <w:pPr>
        <w:tabs>
          <w:tab w:val="num" w:pos="0"/>
        </w:tabs>
        <w:ind w:left="1428" w:hanging="360"/>
      </w:pPr>
      <w:rPr>
        <w:rFonts w:ascii="Arial" w:hAnsi="Arial" w:cs="Arial" w:hint="default"/>
      </w:rPr>
    </w:lvl>
    <w:lvl w:ilvl="1">
      <w:start w:val="0"/>
      <w:numFmt w:val="bullet"/>
      <w:lvlText w:val="o"/>
      <w:lvlJc w:val="left"/>
      <w:pPr>
        <w:tabs>
          <w:tab w:val="num" w:pos="0"/>
        </w:tabs>
        <w:ind w:left="2148" w:hanging="360"/>
      </w:pPr>
      <w:rPr>
        <w:rFonts w:ascii="Courier New" w:hAnsi="Courier New" w:cs="Courier New" w:hint="default"/>
      </w:rPr>
    </w:lvl>
    <w:lvl w:ilvl="2">
      <w:start w:val="0"/>
      <w:numFmt w:val="bullet"/>
      <w:lvlText w:val=""/>
      <w:lvlJc w:val="left"/>
      <w:pPr>
        <w:tabs>
          <w:tab w:val="num" w:pos="0"/>
        </w:tabs>
        <w:ind w:left="2868" w:hanging="360"/>
      </w:pPr>
      <w:rPr>
        <w:rFonts w:ascii="Wingdings" w:hAnsi="Wingdings" w:cs="Wingdings" w:hint="default"/>
      </w:rPr>
    </w:lvl>
    <w:lvl w:ilvl="3">
      <w:start w:val="0"/>
      <w:numFmt w:val="bullet"/>
      <w:lvlText w:val=""/>
      <w:lvlJc w:val="left"/>
      <w:pPr>
        <w:tabs>
          <w:tab w:val="num" w:pos="0"/>
        </w:tabs>
        <w:ind w:left="3588" w:hanging="360"/>
      </w:pPr>
      <w:rPr>
        <w:rFonts w:ascii="Symbol" w:hAnsi="Symbol" w:cs="Symbol" w:hint="default"/>
      </w:rPr>
    </w:lvl>
    <w:lvl w:ilvl="4">
      <w:start w:val="0"/>
      <w:numFmt w:val="bullet"/>
      <w:lvlText w:val="o"/>
      <w:lvlJc w:val="left"/>
      <w:pPr>
        <w:tabs>
          <w:tab w:val="num" w:pos="0"/>
        </w:tabs>
        <w:ind w:left="4308" w:hanging="360"/>
      </w:pPr>
      <w:rPr>
        <w:rFonts w:ascii="Courier New" w:hAnsi="Courier New" w:cs="Courier New" w:hint="default"/>
      </w:rPr>
    </w:lvl>
    <w:lvl w:ilvl="5">
      <w:start w:val="0"/>
      <w:numFmt w:val="bullet"/>
      <w:lvlText w:val=""/>
      <w:lvlJc w:val="left"/>
      <w:pPr>
        <w:tabs>
          <w:tab w:val="num" w:pos="0"/>
        </w:tabs>
        <w:ind w:left="5028" w:hanging="360"/>
      </w:pPr>
      <w:rPr>
        <w:rFonts w:ascii="Wingdings" w:hAnsi="Wingdings" w:cs="Wingdings" w:hint="default"/>
      </w:rPr>
    </w:lvl>
    <w:lvl w:ilvl="6">
      <w:start w:val="0"/>
      <w:numFmt w:val="bullet"/>
      <w:lvlText w:val=""/>
      <w:lvlJc w:val="left"/>
      <w:pPr>
        <w:tabs>
          <w:tab w:val="num" w:pos="0"/>
        </w:tabs>
        <w:ind w:left="5748" w:hanging="360"/>
      </w:pPr>
      <w:rPr>
        <w:rFonts w:ascii="Symbol" w:hAnsi="Symbol" w:cs="Symbol" w:hint="default"/>
      </w:rPr>
    </w:lvl>
    <w:lvl w:ilvl="7">
      <w:start w:val="0"/>
      <w:numFmt w:val="bullet"/>
      <w:lvlText w:val="o"/>
      <w:lvlJc w:val="left"/>
      <w:pPr>
        <w:tabs>
          <w:tab w:val="num" w:pos="0"/>
        </w:tabs>
        <w:ind w:left="6468" w:hanging="360"/>
      </w:pPr>
      <w:rPr>
        <w:rFonts w:ascii="Courier New" w:hAnsi="Courier New" w:cs="Courier New" w:hint="default"/>
      </w:rPr>
    </w:lvl>
    <w:lvl w:ilvl="8">
      <w:start w:val="0"/>
      <w:numFmt w:val="bullet"/>
      <w:lvlText w:val=""/>
      <w:lvlJc w:val="left"/>
      <w:pPr>
        <w:tabs>
          <w:tab w:val="num" w:pos="0"/>
        </w:tabs>
        <w:ind w:left="7188" w:hanging="360"/>
      </w:pPr>
      <w:rPr>
        <w:rFonts w:ascii="Wingdings" w:hAnsi="Wingdings" w:cs="Wingdings" w:hint="default"/>
      </w:rPr>
    </w:lvl>
  </w:abstractNum>
  <w:abstractNum w:abstractNumId="6">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8">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9">
    <w:lvl w:ilvl="0">
      <w:numFmt w:val="bullet"/>
      <w:lvlText w:val=""/>
      <w:lvlJc w:val="left"/>
      <w:pPr>
        <w:tabs>
          <w:tab w:val="num" w:pos="0"/>
        </w:tabs>
        <w:ind w:left="510" w:hanging="34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0">
    <w:lvl w:ilvl="0">
      <w:numFmt w:val="bullet"/>
      <w:lvlText w:val=""/>
      <w:lvlJc w:val="left"/>
      <w:pPr>
        <w:tabs>
          <w:tab w:val="num" w:pos="0"/>
        </w:tabs>
        <w:ind w:left="1080" w:hanging="360"/>
      </w:pPr>
      <w:rPr>
        <w:rFonts w:ascii="Symbol" w:hAnsi="Symbol" w:cs="Symbol"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21">
    <w:lvl w:ilvl="0">
      <w:numFmt w:val="bullet"/>
      <w:lvlText w:val=""/>
      <w:lvlJc w:val="left"/>
      <w:pPr>
        <w:tabs>
          <w:tab w:val="num" w:pos="0"/>
        </w:tabs>
        <w:ind w:left="1080" w:hanging="360"/>
      </w:pPr>
      <w:rPr>
        <w:rFonts w:ascii="Symbol" w:hAnsi="Symbol" w:cs="Symbol"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22">
    <w:lvl w:ilvl="0">
      <w:numFmt w:val="bullet"/>
      <w:lvlText w:val=""/>
      <w:lvlJc w:val="center"/>
      <w:pPr>
        <w:tabs>
          <w:tab w:val="num" w:pos="0"/>
        </w:tabs>
        <w:ind w:left="1080" w:hanging="360"/>
      </w:pPr>
      <w:rPr>
        <w:rFonts w:ascii="Symbol" w:hAnsi="Symbol" w:cs="Symbol" w:hint="default"/>
      </w:rPr>
    </w:lvl>
    <w:lvl w:ilvl="1">
      <w:start w:val="0"/>
      <w:numFmt w:val="bullet"/>
      <w:lvlText w:val="o"/>
      <w:lvlJc w:val="center"/>
      <w:pPr>
        <w:tabs>
          <w:tab w:val="num" w:pos="0"/>
        </w:tabs>
        <w:ind w:left="1512" w:hanging="432"/>
      </w:pPr>
      <w:rPr>
        <w:rFonts w:ascii="Courier New" w:hAnsi="Courier New" w:cs="Courier New" w:hint="default"/>
      </w:rPr>
    </w:lvl>
    <w:lvl w:ilvl="2">
      <w:start w:val="0"/>
      <w:numFmt w:val="bullet"/>
      <w:lvlText w:val=""/>
      <w:lvlJc w:val="center"/>
      <w:pPr>
        <w:tabs>
          <w:tab w:val="num" w:pos="0"/>
        </w:tabs>
        <w:ind w:left="1944" w:hanging="504"/>
      </w:pPr>
      <w:rPr>
        <w:rFonts w:ascii="Wingdings" w:hAnsi="Wingdings" w:cs="Wingdings" w:hint="default"/>
      </w:rPr>
    </w:lvl>
    <w:lvl w:ilvl="3">
      <w:start w:val="0"/>
      <w:numFmt w:val="bullet"/>
      <w:lvlText w:val=""/>
      <w:lvlJc w:val="center"/>
      <w:pPr>
        <w:tabs>
          <w:tab w:val="num" w:pos="0"/>
        </w:tabs>
        <w:ind w:left="2448" w:hanging="648"/>
      </w:pPr>
      <w:rPr>
        <w:rFonts w:ascii="Symbol" w:hAnsi="Symbol" w:cs="Symbol" w:hint="default"/>
      </w:rPr>
    </w:lvl>
    <w:lvl w:ilvl="4">
      <w:start w:val="0"/>
      <w:numFmt w:val="bullet"/>
      <w:lvlText w:val="o"/>
      <w:lvlJc w:val="center"/>
      <w:pPr>
        <w:tabs>
          <w:tab w:val="num" w:pos="0"/>
        </w:tabs>
        <w:ind w:left="2952" w:hanging="792"/>
      </w:pPr>
      <w:rPr>
        <w:rFonts w:ascii="Courier New" w:hAnsi="Courier New" w:cs="Courier New" w:hint="default"/>
      </w:rPr>
    </w:lvl>
    <w:lvl w:ilvl="5">
      <w:start w:val="0"/>
      <w:numFmt w:val="bullet"/>
      <w:lvlText w:val=""/>
      <w:lvlJc w:val="center"/>
      <w:pPr>
        <w:tabs>
          <w:tab w:val="num" w:pos="0"/>
        </w:tabs>
        <w:ind w:left="3456" w:hanging="936"/>
      </w:pPr>
      <w:rPr>
        <w:rFonts w:ascii="Wingdings" w:hAnsi="Wingdings" w:cs="Wingdings" w:hint="default"/>
      </w:rPr>
    </w:lvl>
    <w:lvl w:ilvl="6">
      <w:start w:val="0"/>
      <w:numFmt w:val="bullet"/>
      <w:lvlText w:val=""/>
      <w:lvlJc w:val="center"/>
      <w:pPr>
        <w:tabs>
          <w:tab w:val="num" w:pos="0"/>
        </w:tabs>
        <w:ind w:left="3960" w:hanging="1080"/>
      </w:pPr>
      <w:rPr>
        <w:rFonts w:ascii="Symbol" w:hAnsi="Symbol" w:cs="Symbol" w:hint="default"/>
      </w:rPr>
    </w:lvl>
    <w:lvl w:ilvl="7">
      <w:start w:val="0"/>
      <w:numFmt w:val="bullet"/>
      <w:lvlText w:val="o"/>
      <w:lvlJc w:val="center"/>
      <w:pPr>
        <w:tabs>
          <w:tab w:val="num" w:pos="0"/>
        </w:tabs>
        <w:ind w:left="4464" w:hanging="1224"/>
      </w:pPr>
      <w:rPr>
        <w:rFonts w:ascii="Courier New" w:hAnsi="Courier New" w:cs="Courier New" w:hint="default"/>
      </w:rPr>
    </w:lvl>
    <w:lvl w:ilvl="8">
      <w:start w:val="0"/>
      <w:numFmt w:val="bullet"/>
      <w:lvlText w:val=""/>
      <w:lvlJc w:val="center"/>
      <w:pPr>
        <w:tabs>
          <w:tab w:val="num" w:pos="0"/>
        </w:tabs>
        <w:ind w:left="5040" w:hanging="1440"/>
      </w:pPr>
      <w:rPr>
        <w:rFonts w:ascii="Wingdings" w:hAnsi="Wingdings" w:cs="Wingdings" w:hint="default"/>
      </w:rPr>
    </w:lvl>
  </w:abstractNum>
  <w:abstractNum w:abstractNumId="23">
    <w:lvl w:ilvl="0">
      <w:numFmt w:val="bullet"/>
      <w:lvlText w:val=""/>
      <w:lvlJc w:val="center"/>
      <w:pPr>
        <w:tabs>
          <w:tab w:val="num" w:pos="0"/>
        </w:tabs>
        <w:ind w:left="1080" w:hanging="360"/>
      </w:pPr>
      <w:rPr>
        <w:rFonts w:ascii="Symbol" w:hAnsi="Symbol" w:cs="Symbol" w:hint="default"/>
      </w:rPr>
    </w:lvl>
    <w:lvl w:ilvl="1">
      <w:start w:val="0"/>
      <w:numFmt w:val="bullet"/>
      <w:lvlText w:val="o"/>
      <w:lvlJc w:val="center"/>
      <w:pPr>
        <w:tabs>
          <w:tab w:val="num" w:pos="0"/>
        </w:tabs>
        <w:ind w:left="1512" w:hanging="432"/>
      </w:pPr>
      <w:rPr>
        <w:rFonts w:ascii="Courier New" w:hAnsi="Courier New" w:cs="Courier New" w:hint="default"/>
      </w:rPr>
    </w:lvl>
    <w:lvl w:ilvl="2">
      <w:start w:val="0"/>
      <w:numFmt w:val="bullet"/>
      <w:lvlText w:val=""/>
      <w:lvlJc w:val="center"/>
      <w:pPr>
        <w:tabs>
          <w:tab w:val="num" w:pos="0"/>
        </w:tabs>
        <w:ind w:left="1944" w:hanging="504"/>
      </w:pPr>
      <w:rPr>
        <w:rFonts w:ascii="Wingdings" w:hAnsi="Wingdings" w:cs="Wingdings" w:hint="default"/>
      </w:rPr>
    </w:lvl>
    <w:lvl w:ilvl="3">
      <w:start w:val="0"/>
      <w:numFmt w:val="bullet"/>
      <w:lvlText w:val=""/>
      <w:lvlJc w:val="center"/>
      <w:pPr>
        <w:tabs>
          <w:tab w:val="num" w:pos="0"/>
        </w:tabs>
        <w:ind w:left="2448" w:hanging="648"/>
      </w:pPr>
      <w:rPr>
        <w:rFonts w:ascii="Symbol" w:hAnsi="Symbol" w:cs="Symbol" w:hint="default"/>
      </w:rPr>
    </w:lvl>
    <w:lvl w:ilvl="4">
      <w:start w:val="0"/>
      <w:numFmt w:val="bullet"/>
      <w:lvlText w:val="o"/>
      <w:lvlJc w:val="center"/>
      <w:pPr>
        <w:tabs>
          <w:tab w:val="num" w:pos="0"/>
        </w:tabs>
        <w:ind w:left="2952" w:hanging="792"/>
      </w:pPr>
      <w:rPr>
        <w:rFonts w:ascii="Courier New" w:hAnsi="Courier New" w:cs="Courier New" w:hint="default"/>
      </w:rPr>
    </w:lvl>
    <w:lvl w:ilvl="5">
      <w:start w:val="0"/>
      <w:numFmt w:val="bullet"/>
      <w:lvlText w:val=""/>
      <w:lvlJc w:val="center"/>
      <w:pPr>
        <w:tabs>
          <w:tab w:val="num" w:pos="0"/>
        </w:tabs>
        <w:ind w:left="3456" w:hanging="936"/>
      </w:pPr>
      <w:rPr>
        <w:rFonts w:ascii="Wingdings" w:hAnsi="Wingdings" w:cs="Wingdings" w:hint="default"/>
      </w:rPr>
    </w:lvl>
    <w:lvl w:ilvl="6">
      <w:start w:val="0"/>
      <w:numFmt w:val="bullet"/>
      <w:lvlText w:val=""/>
      <w:lvlJc w:val="center"/>
      <w:pPr>
        <w:tabs>
          <w:tab w:val="num" w:pos="0"/>
        </w:tabs>
        <w:ind w:left="3960" w:hanging="1080"/>
      </w:pPr>
      <w:rPr>
        <w:rFonts w:ascii="Symbol" w:hAnsi="Symbol" w:cs="Symbol" w:hint="default"/>
      </w:rPr>
    </w:lvl>
    <w:lvl w:ilvl="7">
      <w:start w:val="0"/>
      <w:numFmt w:val="bullet"/>
      <w:lvlText w:val="o"/>
      <w:lvlJc w:val="center"/>
      <w:pPr>
        <w:tabs>
          <w:tab w:val="num" w:pos="0"/>
        </w:tabs>
        <w:ind w:left="4464" w:hanging="1224"/>
      </w:pPr>
      <w:rPr>
        <w:rFonts w:ascii="Courier New" w:hAnsi="Courier New" w:cs="Courier New" w:hint="default"/>
      </w:rPr>
    </w:lvl>
    <w:lvl w:ilvl="8">
      <w:start w:val="0"/>
      <w:numFmt w:val="bullet"/>
      <w:lvlText w:val=""/>
      <w:lvlJc w:val="center"/>
      <w:pPr>
        <w:tabs>
          <w:tab w:val="num" w:pos="0"/>
        </w:tabs>
        <w:ind w:left="5040" w:hanging="1440"/>
      </w:pPr>
      <w:rPr>
        <w:rFonts w:ascii="Wingdings" w:hAnsi="Wingdings" w:cs="Wingdings" w:hint="default"/>
      </w:rPr>
    </w:lvl>
  </w:abstractNum>
  <w:abstractNum w:abstractNumId="24">
    <w:lvl w:ilvl="0">
      <w:numFmt w:val="bullet"/>
      <w:lvlText w:val=""/>
      <w:lvlJc w:val="center"/>
      <w:pPr>
        <w:tabs>
          <w:tab w:val="num" w:pos="0"/>
        </w:tabs>
        <w:ind w:left="1080" w:hanging="360"/>
      </w:pPr>
      <w:rPr>
        <w:rFonts w:ascii="Symbol" w:hAnsi="Symbol" w:cs="Symbol" w:hint="default"/>
      </w:rPr>
    </w:lvl>
    <w:lvl w:ilvl="1">
      <w:start w:val="0"/>
      <w:numFmt w:val="bullet"/>
      <w:lvlText w:val="o"/>
      <w:lvlJc w:val="center"/>
      <w:pPr>
        <w:tabs>
          <w:tab w:val="num" w:pos="0"/>
        </w:tabs>
        <w:ind w:left="1512" w:hanging="432"/>
      </w:pPr>
      <w:rPr>
        <w:rFonts w:ascii="Courier New" w:hAnsi="Courier New" w:cs="Courier New" w:hint="default"/>
      </w:rPr>
    </w:lvl>
    <w:lvl w:ilvl="2">
      <w:start w:val="0"/>
      <w:numFmt w:val="bullet"/>
      <w:lvlText w:val=""/>
      <w:lvlJc w:val="center"/>
      <w:pPr>
        <w:tabs>
          <w:tab w:val="num" w:pos="0"/>
        </w:tabs>
        <w:ind w:left="1944" w:hanging="504"/>
      </w:pPr>
      <w:rPr>
        <w:rFonts w:ascii="Wingdings" w:hAnsi="Wingdings" w:cs="Wingdings" w:hint="default"/>
      </w:rPr>
    </w:lvl>
    <w:lvl w:ilvl="3">
      <w:start w:val="0"/>
      <w:numFmt w:val="bullet"/>
      <w:lvlText w:val=""/>
      <w:lvlJc w:val="center"/>
      <w:pPr>
        <w:tabs>
          <w:tab w:val="num" w:pos="0"/>
        </w:tabs>
        <w:ind w:left="2448" w:hanging="648"/>
      </w:pPr>
      <w:rPr>
        <w:rFonts w:ascii="Symbol" w:hAnsi="Symbol" w:cs="Symbol" w:hint="default"/>
      </w:rPr>
    </w:lvl>
    <w:lvl w:ilvl="4">
      <w:start w:val="0"/>
      <w:numFmt w:val="bullet"/>
      <w:lvlText w:val="o"/>
      <w:lvlJc w:val="center"/>
      <w:pPr>
        <w:tabs>
          <w:tab w:val="num" w:pos="0"/>
        </w:tabs>
        <w:ind w:left="2952" w:hanging="792"/>
      </w:pPr>
      <w:rPr>
        <w:rFonts w:ascii="Courier New" w:hAnsi="Courier New" w:cs="Courier New" w:hint="default"/>
      </w:rPr>
    </w:lvl>
    <w:lvl w:ilvl="5">
      <w:start w:val="0"/>
      <w:numFmt w:val="bullet"/>
      <w:lvlText w:val=""/>
      <w:lvlJc w:val="center"/>
      <w:pPr>
        <w:tabs>
          <w:tab w:val="num" w:pos="0"/>
        </w:tabs>
        <w:ind w:left="3456" w:hanging="936"/>
      </w:pPr>
      <w:rPr>
        <w:rFonts w:ascii="Wingdings" w:hAnsi="Wingdings" w:cs="Wingdings" w:hint="default"/>
      </w:rPr>
    </w:lvl>
    <w:lvl w:ilvl="6">
      <w:start w:val="0"/>
      <w:numFmt w:val="bullet"/>
      <w:lvlText w:val=""/>
      <w:lvlJc w:val="center"/>
      <w:pPr>
        <w:tabs>
          <w:tab w:val="num" w:pos="0"/>
        </w:tabs>
        <w:ind w:left="3960" w:hanging="1080"/>
      </w:pPr>
      <w:rPr>
        <w:rFonts w:ascii="Symbol" w:hAnsi="Symbol" w:cs="Symbol" w:hint="default"/>
      </w:rPr>
    </w:lvl>
    <w:lvl w:ilvl="7">
      <w:start w:val="0"/>
      <w:numFmt w:val="bullet"/>
      <w:lvlText w:val="o"/>
      <w:lvlJc w:val="center"/>
      <w:pPr>
        <w:tabs>
          <w:tab w:val="num" w:pos="0"/>
        </w:tabs>
        <w:ind w:left="4464" w:hanging="1224"/>
      </w:pPr>
      <w:rPr>
        <w:rFonts w:ascii="Courier New" w:hAnsi="Courier New" w:cs="Courier New" w:hint="default"/>
      </w:rPr>
    </w:lvl>
    <w:lvl w:ilvl="8">
      <w:start w:val="0"/>
      <w:numFmt w:val="bullet"/>
      <w:lvlText w:val=""/>
      <w:lvlJc w:val="center"/>
      <w:pPr>
        <w:tabs>
          <w:tab w:val="num" w:pos="0"/>
        </w:tabs>
        <w:ind w:left="5040" w:hanging="1440"/>
      </w:pPr>
      <w:rPr>
        <w:rFonts w:ascii="Wingdings" w:hAnsi="Wingdings" w:cs="Wingdings" w:hint="default"/>
      </w:rPr>
    </w:lvl>
  </w:abstractNum>
  <w:abstractNum w:abstractNumId="25">
    <w:lvl w:ilvl="0">
      <w:numFmt w:val="bullet"/>
      <w:lvlText w:val=""/>
      <w:lvlJc w:val="center"/>
      <w:pPr>
        <w:tabs>
          <w:tab w:val="num" w:pos="0"/>
        </w:tabs>
        <w:ind w:left="1080" w:hanging="360"/>
      </w:pPr>
      <w:rPr>
        <w:rFonts w:ascii="Symbol" w:hAnsi="Symbol" w:cs="Symbol" w:hint="default"/>
      </w:rPr>
    </w:lvl>
    <w:lvl w:ilvl="1">
      <w:start w:val="0"/>
      <w:numFmt w:val="bullet"/>
      <w:lvlText w:val="o"/>
      <w:lvlJc w:val="center"/>
      <w:pPr>
        <w:tabs>
          <w:tab w:val="num" w:pos="0"/>
        </w:tabs>
        <w:ind w:left="1512" w:hanging="432"/>
      </w:pPr>
      <w:rPr>
        <w:rFonts w:ascii="Courier New" w:hAnsi="Courier New" w:cs="Courier New" w:hint="default"/>
      </w:rPr>
    </w:lvl>
    <w:lvl w:ilvl="2">
      <w:start w:val="0"/>
      <w:numFmt w:val="bullet"/>
      <w:lvlText w:val=""/>
      <w:lvlJc w:val="center"/>
      <w:pPr>
        <w:tabs>
          <w:tab w:val="num" w:pos="0"/>
        </w:tabs>
        <w:ind w:left="1944" w:hanging="504"/>
      </w:pPr>
      <w:rPr>
        <w:rFonts w:ascii="Wingdings" w:hAnsi="Wingdings" w:cs="Wingdings" w:hint="default"/>
      </w:rPr>
    </w:lvl>
    <w:lvl w:ilvl="3">
      <w:start w:val="0"/>
      <w:numFmt w:val="bullet"/>
      <w:lvlText w:val=""/>
      <w:lvlJc w:val="center"/>
      <w:pPr>
        <w:tabs>
          <w:tab w:val="num" w:pos="0"/>
        </w:tabs>
        <w:ind w:left="2448" w:hanging="648"/>
      </w:pPr>
      <w:rPr>
        <w:rFonts w:ascii="Symbol" w:hAnsi="Symbol" w:cs="Symbol" w:hint="default"/>
      </w:rPr>
    </w:lvl>
    <w:lvl w:ilvl="4">
      <w:start w:val="0"/>
      <w:numFmt w:val="bullet"/>
      <w:lvlText w:val="o"/>
      <w:lvlJc w:val="center"/>
      <w:pPr>
        <w:tabs>
          <w:tab w:val="num" w:pos="0"/>
        </w:tabs>
        <w:ind w:left="2952" w:hanging="792"/>
      </w:pPr>
      <w:rPr>
        <w:rFonts w:ascii="Courier New" w:hAnsi="Courier New" w:cs="Courier New" w:hint="default"/>
      </w:rPr>
    </w:lvl>
    <w:lvl w:ilvl="5">
      <w:start w:val="0"/>
      <w:numFmt w:val="bullet"/>
      <w:lvlText w:val=""/>
      <w:lvlJc w:val="center"/>
      <w:pPr>
        <w:tabs>
          <w:tab w:val="num" w:pos="0"/>
        </w:tabs>
        <w:ind w:left="3456" w:hanging="936"/>
      </w:pPr>
      <w:rPr>
        <w:rFonts w:ascii="Wingdings" w:hAnsi="Wingdings" w:cs="Wingdings" w:hint="default"/>
      </w:rPr>
    </w:lvl>
    <w:lvl w:ilvl="6">
      <w:start w:val="0"/>
      <w:numFmt w:val="bullet"/>
      <w:lvlText w:val=""/>
      <w:lvlJc w:val="center"/>
      <w:pPr>
        <w:tabs>
          <w:tab w:val="num" w:pos="0"/>
        </w:tabs>
        <w:ind w:left="3960" w:hanging="1080"/>
      </w:pPr>
      <w:rPr>
        <w:rFonts w:ascii="Symbol" w:hAnsi="Symbol" w:cs="Symbol" w:hint="default"/>
      </w:rPr>
    </w:lvl>
    <w:lvl w:ilvl="7">
      <w:start w:val="0"/>
      <w:numFmt w:val="bullet"/>
      <w:lvlText w:val="o"/>
      <w:lvlJc w:val="center"/>
      <w:pPr>
        <w:tabs>
          <w:tab w:val="num" w:pos="0"/>
        </w:tabs>
        <w:ind w:left="4464" w:hanging="1224"/>
      </w:pPr>
      <w:rPr>
        <w:rFonts w:ascii="Courier New" w:hAnsi="Courier New" w:cs="Courier New" w:hint="default"/>
      </w:rPr>
    </w:lvl>
    <w:lvl w:ilvl="8">
      <w:start w:val="0"/>
      <w:numFmt w:val="bullet"/>
      <w:lvlText w:val=""/>
      <w:lvlJc w:val="center"/>
      <w:pPr>
        <w:tabs>
          <w:tab w:val="num" w:pos="0"/>
        </w:tabs>
        <w:ind w:left="5040" w:hanging="1440"/>
      </w:pPr>
      <w:rPr>
        <w:rFonts w:ascii="Wingdings" w:hAnsi="Wingdings" w:cs="Wingdings" w:hint="default"/>
      </w:rPr>
    </w:lvl>
  </w:abstractNum>
  <w:abstractNum w:abstractNumId="26">
    <w:lvl w:ilvl="0">
      <w:numFmt w:val="bullet"/>
      <w:lvlText w:val=""/>
      <w:lvlJc w:val="center"/>
      <w:pPr>
        <w:tabs>
          <w:tab w:val="num" w:pos="0"/>
        </w:tabs>
        <w:ind w:left="1080" w:hanging="360"/>
      </w:pPr>
      <w:rPr>
        <w:rFonts w:ascii="Symbol" w:hAnsi="Symbol" w:cs="Symbol" w:hint="default"/>
      </w:rPr>
    </w:lvl>
    <w:lvl w:ilvl="1">
      <w:start w:val="0"/>
      <w:numFmt w:val="bullet"/>
      <w:lvlText w:val="o"/>
      <w:lvlJc w:val="center"/>
      <w:pPr>
        <w:tabs>
          <w:tab w:val="num" w:pos="0"/>
        </w:tabs>
        <w:ind w:left="1512" w:hanging="432"/>
      </w:pPr>
      <w:rPr>
        <w:rFonts w:ascii="Courier New" w:hAnsi="Courier New" w:cs="Courier New" w:hint="default"/>
      </w:rPr>
    </w:lvl>
    <w:lvl w:ilvl="2">
      <w:start w:val="0"/>
      <w:numFmt w:val="bullet"/>
      <w:lvlText w:val=""/>
      <w:lvlJc w:val="center"/>
      <w:pPr>
        <w:tabs>
          <w:tab w:val="num" w:pos="0"/>
        </w:tabs>
        <w:ind w:left="1944" w:hanging="504"/>
      </w:pPr>
      <w:rPr>
        <w:rFonts w:ascii="Wingdings" w:hAnsi="Wingdings" w:cs="Wingdings" w:hint="default"/>
      </w:rPr>
    </w:lvl>
    <w:lvl w:ilvl="3">
      <w:start w:val="0"/>
      <w:numFmt w:val="bullet"/>
      <w:lvlText w:val=""/>
      <w:lvlJc w:val="center"/>
      <w:pPr>
        <w:tabs>
          <w:tab w:val="num" w:pos="0"/>
        </w:tabs>
        <w:ind w:left="2448" w:hanging="648"/>
      </w:pPr>
      <w:rPr>
        <w:rFonts w:ascii="Symbol" w:hAnsi="Symbol" w:cs="Symbol" w:hint="default"/>
      </w:rPr>
    </w:lvl>
    <w:lvl w:ilvl="4">
      <w:start w:val="0"/>
      <w:numFmt w:val="bullet"/>
      <w:lvlText w:val="o"/>
      <w:lvlJc w:val="center"/>
      <w:pPr>
        <w:tabs>
          <w:tab w:val="num" w:pos="0"/>
        </w:tabs>
        <w:ind w:left="2952" w:hanging="792"/>
      </w:pPr>
      <w:rPr>
        <w:rFonts w:ascii="Courier New" w:hAnsi="Courier New" w:cs="Courier New" w:hint="default"/>
      </w:rPr>
    </w:lvl>
    <w:lvl w:ilvl="5">
      <w:start w:val="0"/>
      <w:numFmt w:val="bullet"/>
      <w:lvlText w:val=""/>
      <w:lvlJc w:val="center"/>
      <w:pPr>
        <w:tabs>
          <w:tab w:val="num" w:pos="0"/>
        </w:tabs>
        <w:ind w:left="3456" w:hanging="936"/>
      </w:pPr>
      <w:rPr>
        <w:rFonts w:ascii="Wingdings" w:hAnsi="Wingdings" w:cs="Wingdings" w:hint="default"/>
      </w:rPr>
    </w:lvl>
    <w:lvl w:ilvl="6">
      <w:start w:val="0"/>
      <w:numFmt w:val="bullet"/>
      <w:lvlText w:val=""/>
      <w:lvlJc w:val="center"/>
      <w:pPr>
        <w:tabs>
          <w:tab w:val="num" w:pos="0"/>
        </w:tabs>
        <w:ind w:left="3960" w:hanging="1080"/>
      </w:pPr>
      <w:rPr>
        <w:rFonts w:ascii="Symbol" w:hAnsi="Symbol" w:cs="Symbol" w:hint="default"/>
      </w:rPr>
    </w:lvl>
    <w:lvl w:ilvl="7">
      <w:start w:val="0"/>
      <w:numFmt w:val="bullet"/>
      <w:lvlText w:val="o"/>
      <w:lvlJc w:val="center"/>
      <w:pPr>
        <w:tabs>
          <w:tab w:val="num" w:pos="0"/>
        </w:tabs>
        <w:ind w:left="4464" w:hanging="1224"/>
      </w:pPr>
      <w:rPr>
        <w:rFonts w:ascii="Courier New" w:hAnsi="Courier New" w:cs="Courier New" w:hint="default"/>
      </w:rPr>
    </w:lvl>
    <w:lvl w:ilvl="8">
      <w:start w:val="0"/>
      <w:numFmt w:val="bullet"/>
      <w:lvlText w:val=""/>
      <w:lvlJc w:val="center"/>
      <w:pPr>
        <w:tabs>
          <w:tab w:val="num" w:pos="0"/>
        </w:tabs>
        <w:ind w:left="5040" w:hanging="1440"/>
      </w:pPr>
      <w:rPr>
        <w:rFonts w:ascii="Wingdings" w:hAnsi="Wingdings" w:cs="Wingdings" w:hint="default"/>
      </w:rPr>
    </w:lvl>
  </w:abstractNum>
  <w:abstractNum w:abstractNumId="27">
    <w:lvl w:ilvl="0">
      <w:numFmt w:val="bullet"/>
      <w:lvlText w:val="-"/>
      <w:lvlJc w:val="left"/>
      <w:pPr>
        <w:tabs>
          <w:tab w:val="num" w:pos="0"/>
        </w:tabs>
        <w:ind w:left="1428" w:hanging="360"/>
      </w:pPr>
      <w:rPr>
        <w:rFonts w:ascii="Arial" w:hAnsi="Arial" w:cs="Arial" w:hint="default"/>
      </w:rPr>
    </w:lvl>
    <w:lvl w:ilvl="1">
      <w:start w:val="0"/>
      <w:numFmt w:val="bullet"/>
      <w:lvlText w:val="o"/>
      <w:lvlJc w:val="left"/>
      <w:pPr>
        <w:tabs>
          <w:tab w:val="num" w:pos="0"/>
        </w:tabs>
        <w:ind w:left="2148" w:hanging="360"/>
      </w:pPr>
      <w:rPr>
        <w:rFonts w:ascii="Courier New" w:hAnsi="Courier New" w:cs="Courier New" w:hint="default"/>
      </w:rPr>
    </w:lvl>
    <w:lvl w:ilvl="2">
      <w:start w:val="0"/>
      <w:numFmt w:val="bullet"/>
      <w:lvlText w:val=""/>
      <w:lvlJc w:val="left"/>
      <w:pPr>
        <w:tabs>
          <w:tab w:val="num" w:pos="0"/>
        </w:tabs>
        <w:ind w:left="2868" w:hanging="360"/>
      </w:pPr>
      <w:rPr>
        <w:rFonts w:ascii="Wingdings" w:hAnsi="Wingdings" w:cs="Wingdings" w:hint="default"/>
      </w:rPr>
    </w:lvl>
    <w:lvl w:ilvl="3">
      <w:start w:val="0"/>
      <w:numFmt w:val="bullet"/>
      <w:lvlText w:val=""/>
      <w:lvlJc w:val="left"/>
      <w:pPr>
        <w:tabs>
          <w:tab w:val="num" w:pos="0"/>
        </w:tabs>
        <w:ind w:left="3588" w:hanging="360"/>
      </w:pPr>
      <w:rPr>
        <w:rFonts w:ascii="Symbol" w:hAnsi="Symbol" w:cs="Symbol" w:hint="default"/>
      </w:rPr>
    </w:lvl>
    <w:lvl w:ilvl="4">
      <w:start w:val="0"/>
      <w:numFmt w:val="bullet"/>
      <w:lvlText w:val="o"/>
      <w:lvlJc w:val="left"/>
      <w:pPr>
        <w:tabs>
          <w:tab w:val="num" w:pos="0"/>
        </w:tabs>
        <w:ind w:left="4308" w:hanging="360"/>
      </w:pPr>
      <w:rPr>
        <w:rFonts w:ascii="Courier New" w:hAnsi="Courier New" w:cs="Courier New" w:hint="default"/>
      </w:rPr>
    </w:lvl>
    <w:lvl w:ilvl="5">
      <w:start w:val="0"/>
      <w:numFmt w:val="bullet"/>
      <w:lvlText w:val=""/>
      <w:lvlJc w:val="left"/>
      <w:pPr>
        <w:tabs>
          <w:tab w:val="num" w:pos="0"/>
        </w:tabs>
        <w:ind w:left="5028" w:hanging="360"/>
      </w:pPr>
      <w:rPr>
        <w:rFonts w:ascii="Wingdings" w:hAnsi="Wingdings" w:cs="Wingdings" w:hint="default"/>
      </w:rPr>
    </w:lvl>
    <w:lvl w:ilvl="6">
      <w:start w:val="0"/>
      <w:numFmt w:val="bullet"/>
      <w:lvlText w:val=""/>
      <w:lvlJc w:val="left"/>
      <w:pPr>
        <w:tabs>
          <w:tab w:val="num" w:pos="0"/>
        </w:tabs>
        <w:ind w:left="5748" w:hanging="360"/>
      </w:pPr>
      <w:rPr>
        <w:rFonts w:ascii="Symbol" w:hAnsi="Symbol" w:cs="Symbol" w:hint="default"/>
      </w:rPr>
    </w:lvl>
    <w:lvl w:ilvl="7">
      <w:start w:val="0"/>
      <w:numFmt w:val="bullet"/>
      <w:lvlText w:val="o"/>
      <w:lvlJc w:val="left"/>
      <w:pPr>
        <w:tabs>
          <w:tab w:val="num" w:pos="0"/>
        </w:tabs>
        <w:ind w:left="6468" w:hanging="360"/>
      </w:pPr>
      <w:rPr>
        <w:rFonts w:ascii="Courier New" w:hAnsi="Courier New" w:cs="Courier New" w:hint="default"/>
      </w:rPr>
    </w:lvl>
    <w:lvl w:ilvl="8">
      <w:start w:val="0"/>
      <w:numFmt w:val="bullet"/>
      <w:lvlText w:val=""/>
      <w:lvlJc w:val="left"/>
      <w:pPr>
        <w:tabs>
          <w:tab w:val="num" w:pos="0"/>
        </w:tabs>
        <w:ind w:left="7188" w:hanging="360"/>
      </w:pPr>
      <w:rPr>
        <w:rFonts w:ascii="Wingdings" w:hAnsi="Wingdings" w:cs="Wingdings"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3"/>
  </w:num>
  <w:num w:numId="44">
    <w:abstractNumId w:val="3"/>
  </w:num>
  <w:num w:numId="45">
    <w:abstractNumId w:val="4"/>
  </w:num>
  <w:num w:numId="46">
    <w:abstractNumId w:val="4"/>
  </w:num>
  <w:num w:numId="47">
    <w:abstractNumId w:val="4"/>
  </w:num>
  <w:num w:numId="48">
    <w:abstractNumId w:val="4"/>
  </w:num>
  <w:num w:numId="49">
    <w:abstractNumId w:val="4"/>
  </w:num>
  <w:num w:numId="50">
    <w:abstractNumId w:val="5"/>
  </w:num>
</w:numbering>
</file>

<file path=word/settings.xml><?xml version="1.0" encoding="utf-8"?>
<w:settings xmlns:w="http://schemas.openxmlformats.org/wordprocessingml/2006/main">
  <w:zoom w:percent="90"/>
  <w:defaultTabStop w:val="708"/>
  <w:autoHyphenation w:val="true"/>
  <w:hyphenationZone w:val="425"/>
  <w:compat>
    <w:compatSetting w:name="compatibilityMode" w:uri="http://schemas.microsoft.com/office/word" w:val="15"/>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0"/>
      <w:szCs w:val="20"/>
      <w:lang w:val="es-ES" w:eastAsia="es-ES" w:bidi="ar-SA"/>
    </w:rPr>
  </w:style>
  <w:style w:type="paragraph" w:styleId="Ttulo1">
    <w:name w:val="Heading 1"/>
    <w:basedOn w:val="Standard"/>
    <w:next w:val="Standard"/>
    <w:uiPriority w:val="9"/>
    <w:qFormat/>
    <w:pPr>
      <w:keepNext w:val="true"/>
      <w:numPr>
        <w:ilvl w:val="0"/>
        <w:numId w:val="1"/>
      </w:numPr>
      <w:tabs>
        <w:tab w:val="clear" w:pos="708"/>
        <w:tab w:val="left" w:pos="2138" w:leader="none"/>
      </w:tabs>
      <w:spacing w:lineRule="auto" w:line="360"/>
      <w:jc w:val="both"/>
      <w:outlineLvl w:val="0"/>
    </w:pPr>
    <w:rPr>
      <w:rFonts w:ascii="Arial" w:hAnsi="Arial" w:eastAsia="Arial" w:cs="Arial"/>
      <w:b/>
      <w:i/>
      <w:sz w:val="24"/>
      <w:u w:val="single"/>
    </w:rPr>
  </w:style>
  <w:style w:type="paragraph" w:styleId="Ttulo2">
    <w:name w:val="Heading 2"/>
    <w:basedOn w:val="Standard"/>
    <w:next w:val="Standard"/>
    <w:uiPriority w:val="9"/>
    <w:semiHidden/>
    <w:unhideWhenUsed/>
    <w:qFormat/>
    <w:pPr>
      <w:keepNext w:val="true"/>
      <w:keepLines/>
      <w:spacing w:before="200" w:after="120"/>
      <w:outlineLvl w:val="1"/>
    </w:pPr>
    <w:rPr>
      <w:rFonts w:ascii="Cambria" w:hAnsi="Cambria"/>
      <w:b/>
      <w:bCs/>
      <w:color w:val="4F81BD"/>
      <w:sz w:val="26"/>
      <w:szCs w:val="26"/>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qFormat/>
    <w:rPr>
      <w:strike w:val="false"/>
      <w:dstrike w:val="false"/>
      <w:color w:val="000088"/>
      <w:u w:val="none"/>
    </w:rPr>
  </w:style>
  <w:style w:type="character" w:styleId="FootnoteSymbol" w:customStyle="1">
    <w:name w:val="Footnote Symbol"/>
    <w:basedOn w:val="DefaultParagraphFont"/>
    <w:qFormat/>
    <w:rPr>
      <w:vertAlign w:val="superscript"/>
    </w:rPr>
  </w:style>
  <w:style w:type="character" w:styleId="Caracteresdenotaalpie" w:customStyle="1">
    <w:name w:val="Caracteres de nota al pie"/>
    <w:qFormat/>
    <w:rPr>
      <w:vertAlign w:val="superscript"/>
    </w:rPr>
  </w:style>
  <w:style w:type="character" w:styleId="Ancladenotaalpie">
    <w:name w:val="Footnote Reference"/>
    <w:rPr>
      <w:vertAlign w:val="superscript"/>
    </w:rPr>
  </w:style>
  <w:style w:type="character" w:styleId="Pagenumber">
    <w:name w:val="page number"/>
    <w:basedOn w:val="DefaultParagraphFont"/>
    <w:qFormat/>
    <w:rPr/>
  </w:style>
  <w:style w:type="character" w:styleId="TextodegloboCar" w:customStyle="1">
    <w:name w:val="Texto de globo Car"/>
    <w:basedOn w:val="DefaultParagraphFont"/>
    <w:qFormat/>
    <w:rPr>
      <w:rFonts w:ascii="Tahoma" w:hAnsi="Tahoma" w:eastAsia="Tahoma" w:cs="Tahoma"/>
      <w:sz w:val="16"/>
      <w:szCs w:val="16"/>
    </w:rPr>
  </w:style>
  <w:style w:type="character" w:styleId="TextoindependienteCar" w:customStyle="1">
    <w:name w:val="Texto independiente Car"/>
    <w:basedOn w:val="DefaultParagraphFont"/>
    <w:qFormat/>
    <w:rPr>
      <w:sz w:val="24"/>
    </w:rPr>
  </w:style>
  <w:style w:type="character" w:styleId="Ttulo1Car" w:customStyle="1">
    <w:name w:val="Título 1 Car"/>
    <w:basedOn w:val="DefaultParagraphFont"/>
    <w:qFormat/>
    <w:rPr>
      <w:rFonts w:ascii="Arial" w:hAnsi="Arial" w:eastAsia="Arial" w:cs="Arial"/>
      <w:b/>
      <w:i/>
      <w:sz w:val="24"/>
      <w:u w:val="single"/>
    </w:rPr>
  </w:style>
  <w:style w:type="character" w:styleId="Ttulo2Car" w:customStyle="1">
    <w:name w:val="Título 2 Car"/>
    <w:basedOn w:val="DefaultParagraphFont"/>
    <w:qFormat/>
    <w:rPr>
      <w:rFonts w:ascii="Cambria" w:hAnsi="Cambria" w:eastAsia="Times New Roman" w:cs="Times New Roman"/>
      <w:b/>
      <w:bCs/>
      <w:color w:val="4F81BD"/>
      <w:sz w:val="26"/>
      <w:szCs w:val="26"/>
    </w:rPr>
  </w:style>
  <w:style w:type="paragraph" w:styleId="Ttulo" w:customStyle="1">
    <w:name w:val="Título"/>
    <w:basedOn w:val="Standard"/>
    <w:next w:val="Textbody"/>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Textbody"/>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rFonts w:cs="Arial"/>
      <w:sz w:val="24"/>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s-ES" w:eastAsia="zh-CN" w:bidi="hi-IN"/>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Arial"/>
      <w:i/>
      <w:iCs/>
      <w:sz w:val="24"/>
      <w:szCs w:val="24"/>
    </w:rPr>
  </w:style>
  <w:style w:type="paragraph" w:styleId="PlainText">
    <w:name w:val="Plain Text"/>
    <w:basedOn w:val="Standard"/>
    <w:qFormat/>
    <w:pPr/>
    <w:rPr>
      <w:rFonts w:ascii="Courier New" w:hAnsi="Courier New" w:eastAsia="Courier New" w:cs="Courier New"/>
    </w:rPr>
  </w:style>
  <w:style w:type="paragraph" w:styleId="NormalWeb">
    <w:name w:val="Normal (Web)"/>
    <w:basedOn w:val="Standard"/>
    <w:qFormat/>
    <w:pPr>
      <w:spacing w:before="280" w:after="280"/>
    </w:pPr>
    <w:rPr>
      <w:rFonts w:ascii="Verdana" w:hAnsi="Verdana" w:eastAsia="Verdana" w:cs="Verdana"/>
      <w:sz w:val="15"/>
      <w:szCs w:val="15"/>
    </w:rPr>
  </w:style>
  <w:style w:type="paragraph" w:styleId="Cabeceraypie" w:customStyle="1">
    <w:name w:val="Cabecera y pie"/>
    <w:basedOn w:val="Standard"/>
    <w:qFormat/>
    <w:pPr/>
    <w:rPr/>
  </w:style>
  <w:style w:type="paragraph" w:styleId="Cabecera">
    <w:name w:val="Header"/>
    <w:basedOn w:val="Standard"/>
    <w:pPr>
      <w:tabs>
        <w:tab w:val="clear" w:pos="708"/>
        <w:tab w:val="center" w:pos="4419" w:leader="none"/>
        <w:tab w:val="right" w:pos="8838" w:leader="none"/>
      </w:tabs>
    </w:pPr>
    <w:rPr/>
  </w:style>
  <w:style w:type="paragraph" w:styleId="Piedepgina">
    <w:name w:val="Footer"/>
    <w:basedOn w:val="Standard"/>
    <w:pPr>
      <w:tabs>
        <w:tab w:val="clear" w:pos="708"/>
        <w:tab w:val="center" w:pos="4419" w:leader="none"/>
        <w:tab w:val="right" w:pos="8838" w:leader="none"/>
      </w:tabs>
    </w:pPr>
    <w:rPr/>
  </w:style>
  <w:style w:type="paragraph" w:styleId="Footnote" w:customStyle="1">
    <w:name w:val="Footnote"/>
    <w:basedOn w:val="Standard"/>
    <w:qFormat/>
    <w:pPr/>
    <w:rPr/>
  </w:style>
  <w:style w:type="paragraph" w:styleId="BalloonText">
    <w:name w:val="Balloon Text"/>
    <w:basedOn w:val="Standard"/>
    <w:qFormat/>
    <w:pPr/>
    <w:rPr>
      <w:rFonts w:ascii="Tahoma" w:hAnsi="Tahoma" w:eastAsia="Tahoma" w:cs="Tahoma"/>
      <w:sz w:val="16"/>
      <w:szCs w:val="16"/>
    </w:rPr>
  </w:style>
  <w:style w:type="paragraph" w:styleId="Default" w:customStyle="1">
    <w:name w:val="Default"/>
    <w:qFormat/>
    <w:pPr>
      <w:widowControl/>
      <w:suppressAutoHyphens w:val="true"/>
      <w:bidi w:val="0"/>
      <w:spacing w:before="0" w:after="0"/>
      <w:jc w:val="left"/>
      <w:textAlignment w:val="baseline"/>
    </w:pPr>
    <w:rPr>
      <w:rFonts w:ascii="Arial" w:hAnsi="Arial" w:eastAsia="Arial" w:cs="Arial"/>
      <w:color w:val="000000"/>
      <w:kern w:val="0"/>
      <w:sz w:val="24"/>
      <w:szCs w:val="24"/>
      <w:lang w:val="es-ES" w:eastAsia="es-ES" w:bidi="ar-SA"/>
    </w:rPr>
  </w:style>
  <w:style w:type="paragraph" w:styleId="ListParagraph">
    <w:name w:val="List Paragraph"/>
    <w:basedOn w:val="Standard"/>
    <w:qFormat/>
    <w:pPr>
      <w:spacing w:before="0" w:after="0"/>
      <w:ind w:left="720" w:hanging="0"/>
      <w:contextualSpacing/>
    </w:pPr>
    <w:rPr>
      <w:sz w:val="24"/>
      <w:szCs w:val="24"/>
    </w:rPr>
  </w:style>
  <w:style w:type="paragraph" w:styleId="Contenidodelmarco" w:customStyle="1">
    <w:name w:val="Contenido del marco"/>
    <w:basedOn w:val="Standard"/>
    <w:qFormat/>
    <w:pPr/>
    <w:rPr/>
  </w:style>
  <w:style w:type="paragraph" w:styleId="Contenidodelatabla" w:customStyle="1">
    <w:name w:val="Contenido de la tabla"/>
    <w:basedOn w:val="Standard"/>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LibreOffice/7.5.5.2$Windows_X86_64 LibreOffice_project/ca8fe7424262805f223b9a2334bc7181abbcbf5e</Application>
  <AppVersion>15.0000</AppVersion>
  <Pages>10</Pages>
  <Words>2476</Words>
  <Characters>13575</Characters>
  <CharactersWithSpaces>15761</CharactersWithSpaces>
  <Paragraphs>292</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2025-10-02T13:17:00Z</dcterms:created>
  <dc:creator>Colindres</dc:creator>
  <dc:description/>
  <dc:language>es-ES</dc:language>
  <cp:lastModifiedBy/>
  <cp:lastPrinted>2018-03-12T10:48:00Z</cp:lastPrinted>
  <dcterms:modified xsi:type="dcterms:W3CDTF">2025-10-03T13:06:47Z</dcterms:modified>
  <cp:revision>7</cp:revision>
  <dc:subject/>
  <dc:title>INFORME DE INTERVENCION</dc:title>
</cp:coreProperties>
</file>

<file path=docProps/custom.xml><?xml version="1.0" encoding="utf-8"?>
<Properties xmlns="http://schemas.openxmlformats.org/officeDocument/2006/custom-properties" xmlns:vt="http://schemas.openxmlformats.org/officeDocument/2006/docPropsVTypes"/>
</file>