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1250" w:type="dxa"/>
        <w:gridCol w:w="125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</w:p>
        </w:tc>
        <w:tc>
          <w:tcPr>
            <w:tcW w:w="1250" w:type="pct"/>
          </w:tcPr>
          <w:p>
            <w:pPr>
              <w:jc w:val="center"/>
            </w:pPr>
          </w:p>
        </w:tc>
        <w:tc>
          <w:tcPr>
            <w:tcW w:w="1250" w:type="pct"/>
          </w:tcPr>
          <w:p>
            <w:pPr>
              <w:jc w:val="center"/>
            </w:pPr>
          </w:p>
        </w:tc>
      </w:tr>
    </w:tbl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Descripción</w:t>
      </w:r>
    </w:p>
    <w:p>
      <w:pPr>
        <w:jc w:val="both"/>
      </w:pPr>
      <w:r>
        <w:rPr/>
        <w:t xml:space="preserve">Este trámite permite formular quejas y sugerencias ante esta Entidad.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Requisitos</w:t>
      </w:r>
    </w:p>
    <w:p>
      <w:pPr>
        <w:jc w:val="both"/>
      </w:pPr>
      <w:r>
        <w:rPr/>
        <w:t xml:space="preserve">De conformidad con lo establecido en la Ley 39/2015, de 1 de octubre, de Procedimiento Administrativo Común, toda persona jurídica o física podrá dirigirse a la Administración presentando las solicitudes, comunicaciones y escritos que considere oportunos, tan solo deberán de cumplir estos con el contenido mínimo regulador en dicha normativa.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Plazo de presentación</w:t>
      </w:r>
    </w:p>
    <w:p>
      <w:pPr>
        <w:jc w:val="both"/>
      </w:pPr>
      <w:r>
        <w:rPr/>
        <w:t xml:space="preserve">Contínuo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Efecto del Silencio</w:t>
      </w:r>
    </w:p>
    <w:p>
      <w:pPr>
        <w:jc w:val="both"/>
      </w:pPr>
      <w:r>
        <w:rPr/>
        <w:t xml:space="preserve">Según normativa aplicable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Plazo de Resolución</w:t>
      </w:r>
    </w:p>
    <w:p>
      <w:pPr>
        <w:jc w:val="both"/>
      </w:pPr>
      <w:r>
        <w:rPr/>
        <w:t xml:space="preserve">Según normativa aplicable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>
          <w:b w:val="1"/>
          <w:bCs w:val="1"/>
        </w:rPr>
        <w:t xml:space="preserve">Documentación Obligatoria</w:t>
      </w:r>
    </w:p>
    <w:p>
      <w:pPr>
        <w:jc w:val="both"/>
      </w:pPr>
      <w:r>
        <w:rPr/>
        <w:t xml:space="preserve">Para poder presentar el trámite, es necesario presentar la siguiente documentación</w:t>
      </w:r>
    </w:p>
    <w:tbl>
      <w:tblGrid>
        <w:gridCol w:w="50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50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Datos de Identificación (Obligatorio)</w:t>
            </w:r>
          </w:p>
        </w:tc>
      </w:tr>
      <w:tr>
        <w:trPr/>
        <w:tc>
          <w:tcPr>
            <w:tcW w:w="5000" w:type="pct"/>
          </w:tcPr>
          <w:p>
            <w:pPr>
              <w:jc w:val="start"/>
            </w:pPr>
            <w:r>
              <w:rPr/>
              <w:t xml:space="preserve">De conformidad con lo establecido en el artículo 66.1.a de la Ley 39/2015, de 1 de octubre, del Procedimiento Administrativo Común de las Administraciones Públicas, las solicitudes que se formulen deberán de contener el nombre y los apellidos del interesado y el artículo 9 regula cual es el sistema de identificación de los interesados.</w:t>
            </w:r>
          </w:p>
          <w:p>
            <w:pPr>
              <w:jc w:val="start"/>
            </w:pPr>
            <w:r>
              <w:rPr/>
              <w:t xml:space="preserve">Requisito de Validez: Copia simple responsabilizándose el interesado de su veracidad Esta administración se reserva el derecho a poder requerirle posteriormente la exhibición del documento original</w:t>
            </w:r>
          </w:p>
        </w:tc>
      </w:tr>
    </w:tbl>
    <w:tbl>
      <w:tblGrid>
        <w:gridCol w:w="2500" w:type="dxa"/>
        <w:gridCol w:w="25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Normativa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Arts. 9 y 66</w:t>
            </w: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Común.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</w:tbl>
    <w:p>
      <w:pPr>
        <w:jc w:val="both"/>
      </w:pPr>
      <w:r>
        <w:rPr/>
        <w:t xml:space="preserve"> </w:t>
      </w:r>
    </w:p>
    <w:tbl>
      <w:tblGrid>
        <w:gridCol w:w="2500" w:type="dxa"/>
        <w:gridCol w:w="2500" w:type="dxa"/>
      </w:tblGrid>
      <w:tblPr>
        <w:tblW w:w="25650" w:type="pct"/>
        <w:tblLayout w:type="autofit"/>
        <w:bidiVisual w:val="0"/>
      </w:tblPr>
      <w:tr>
        <w:trPr>
          <w:tblHeader w:val="1"/>
        </w:trPr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Normativa aplicable</w:t>
            </w:r>
          </w:p>
        </w:tc>
        <w:tc>
          <w:tcPr>
            <w:tcW w:w="25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Enlaces</w:t>
            </w: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Orgánica 4/2001, de 12 de noviembre, reguladora del Derecho de Petición. (Arts. 7-12)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Comun de las Administraciones Publicas. (Art. 94)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Ley 39/2015, de 1 de octubre, del Procedimiento Administrativo Común. (Arts. 9 y 66)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  <w:tr>
        <w:trPr/>
        <w:tc>
          <w:tcPr>
            <w:tcW w:w="2500" w:type="pct"/>
          </w:tcPr>
          <w:p>
            <w:pPr>
              <w:jc w:val="start"/>
            </w:pPr>
            <w:r>
              <w:rPr/>
              <w:t xml:space="preserve">Real Decreto 951/2005, de 29 de julio, por el que se establece el marco general para la mejora de la calidad en la Administración General del Estado. (Norma completa)</w:t>
            </w:r>
          </w:p>
        </w:tc>
        <w:tc>
          <w:tcPr>
            <w:tcW w:w="250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2026-09-19T10:15:16+00:00</dcterms:created>
  <dcterms:modified xsi:type="dcterms:W3CDTF">2026-09-19T10:15:16+00:00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