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1250" w:type="dxa"/>
        <w:gridCol w:w="125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</w:p>
        </w:tc>
        <w:tc>
          <w:tcPr>
            <w:tcW w:w="1250" w:type="pct"/>
          </w:tcPr>
          <w:p>
            <w:pPr>
              <w:jc w:val="center"/>
            </w:pPr>
          </w:p>
        </w:tc>
        <w:tc>
          <w:tcPr>
            <w:tcW w:w="1250" w:type="pct"/>
          </w:tcPr>
          <w:p>
            <w:pPr>
              <w:jc w:val="center"/>
            </w:pP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Descripción</w:t>
      </w:r>
    </w:p>
    <w:p>
      <w:pPr>
        <w:jc w:val="both"/>
      </w:pPr>
      <w:r>
        <w:rPr/>
        <w:t xml:space="preserve">Este trámite permite formular quejas y sugerencias ante esta Entidad.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Requisitos</w:t>
      </w:r>
    </w:p>
    <w:p>
      <w:pPr>
        <w:jc w:val="both"/>
      </w:pPr>
      <w:r>
        <w:rPr/>
        <w:t xml:space="preserve">De conformidad con lo establecido en la Ley 39/2015, de 1 de octubre, de Procedimiento Administrativo Común, toda persona jurídica o física podrá dirigirse a la Administración presentando las solicitudes, comunicaciones y escritos que considere oportunos, tan solo deberán de cumplir estos con el contenido mínimo regulador en dicha normativa.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Plazo de presentación</w:t>
      </w:r>
    </w:p>
    <w:p>
      <w:pPr>
        <w:jc w:val="both"/>
      </w:pPr>
      <w:r>
        <w:rPr/>
        <w:t xml:space="preserve">Contínuo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Efecto del Silencio</w:t>
      </w:r>
    </w:p>
    <w:p>
      <w:pPr>
        <w:jc w:val="both"/>
      </w:pPr>
      <w:r>
        <w:rPr/>
        <w:t xml:space="preserve">Según normativa aplicable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Plazo de Resolución</w:t>
      </w:r>
    </w:p>
    <w:p>
      <w:pPr>
        <w:jc w:val="both"/>
      </w:pPr>
      <w:r>
        <w:rPr/>
        <w:t xml:space="preserve">Según normativa aplicable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Documentación Obligatoria</w:t>
      </w:r>
    </w:p>
    <w:p>
      <w:pPr>
        <w:jc w:val="both"/>
      </w:pPr>
      <w:r>
        <w:rPr/>
        <w:t xml:space="preserve">Para poder presentar el trámite, es necesario presentar la siguiente documentación</w:t>
      </w:r>
    </w:p>
    <w:tbl>
      <w:tblGrid>
        <w:gridCol w:w="50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Datos de Identificación (Obligatorio)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De conformidad con lo establecido en el artículo 66.1.a de la Ley 39/2015, de 1 de octubre, del Procedimiento Administrativo Común de las Administraciones Públicas, las solicitudes que se formulen deberán de contener el nombre y los apellidos del interesado y el artículo 9 regula cual es el sistema de identificación de los interesados.</w:t>
            </w:r>
          </w:p>
          <w:p>
            <w:pPr>
              <w:jc w:val="start"/>
            </w:pPr>
            <w:r>
              <w:rPr/>
              <w:t xml:space="preserve">Requisito de Validez: Copia simple responsabilizándose el interesado de su veracidad Esta administración se reserva el derecho a poder requerirle posteriormente la exhibición del documento original</w:t>
            </w:r>
          </w:p>
        </w:tc>
      </w:tr>
    </w:tbl>
    <w:tbl>
      <w:tblGrid>
        <w:gridCol w:w="2500" w:type="dxa"/>
        <w:gridCol w:w="25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Normativa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Arts. 9 y 66</w:t>
            </w: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Común.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</w:tbl>
    <w:p>
      <w:pPr>
        <w:jc w:val="both"/>
      </w:pPr>
      <w:r>
        <w:rPr/>
        <w:t xml:space="preserve"> </w:t>
      </w:r>
    </w:p>
    <w:tbl>
      <w:tblGrid>
        <w:gridCol w:w="2500" w:type="dxa"/>
        <w:gridCol w:w="25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Normativa aplicable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Enlaces</w:t>
            </w: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Orgánica 4/2001, de 12 de noviembre, reguladora del Derecho de Petición. (Arts. 7-12)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Comun de las Administraciones Publicas. (Art. 94)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Común. (Arts. 9 y 66)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Real Decreto 951/2005, de 29 de julio, por el que se establece el marco general para la mejora de la calidad en la Administración General del Estado. (Norma completa)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2026-11-03T18:43:23+00:00</dcterms:created>
  <dcterms:modified xsi:type="dcterms:W3CDTF">2026-11-03T18:43:23+00:00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