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tbl>
      <w:tblGrid>
        <w:gridCol w:w="37450" w:type="dxa"/>
        <w:gridCol w:w="12550" w:type="dxa"/>
      </w:tblGrid>
      <w:tblPr>
        <w:tblW w:w="27800" w:type="pct"/>
        <w:tblLayout w:type="autofit"/>
        <w:bidiVisual w:val="0"/>
      </w:tblPr>
      <w:tr>
        <w:trPr>
          <w:tblHeader w:val="1"/>
        </w:trPr>
        <w:tc>
          <w:tcPr>
            <w:tcW w:w="374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125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Enlace</w:t>
            </w:r>
          </w:p>
        </w:tc>
      </w:tr>
      <w:tr>
        <w:trPr/>
        <w:tc>
          <w:tcPr>
            <w:tcW w:w="37450" w:type="pct"/>
          </w:tcPr>
          <w:p>
            <w:pPr>
              <w:jc w:val="center"/>
            </w:pPr>
            <w:r>
              <w:rPr/>
              <w:t xml:space="preserve">Catálogo de procedimientos en Sede electrónica</w:t>
            </w:r>
          </w:p>
        </w:tc>
        <w:tc>
          <w:tcPr>
            <w:tcW w:w="12550" w:type="pct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2026-06-20T19:55:48+00:00</dcterms:created>
  <dcterms:modified xsi:type="dcterms:W3CDTF">2026-06-20T19:55:48+00:00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