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“2004 Relación de ayudas y subvenciones concedidas a partidos políticos Importe, objetivo o finalidad y partido político beneficiario."</w:t>
      </w:r>
    </w:p>
    <w:p>
      <w:pPr/>
      <w:r>
        <w:rPr/>
        <w:t xml:space="preserve">Desde el Ayuntamiento de Villa de Firgas, se pone en conocimiento del público en general, que </w:t>
      </w:r>
      <w:r>
        <w:rPr>
          <w:b w:val="1"/>
          <w:bCs w:val="1"/>
        </w:rPr>
        <w:t xml:space="preserve">no se han concedidos subvenciones a partidos políticos durante los ejercicios</w:t>
      </w:r>
      <w:r>
        <w:rPr/>
        <w:t xml:space="preserve"> </w:t>
      </w:r>
      <w:r>
        <w:rPr>
          <w:b w:val="1"/>
          <w:bCs w:val="1"/>
        </w:rPr>
        <w:t xml:space="preserve">2023, 2024 y 2025 y 2026.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2026-06-20T20:03:08+00:00</dcterms:created>
  <dcterms:modified xsi:type="dcterms:W3CDTF">2026-06-20T20:03:08+00:00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