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En cumplimiento de las obligaciones de publicidad activa en materia de incompatibilidades y conflictos de intereses, se informa de que, con respecto a </w:t>
      </w:r>
      <w:r>
        <w:rPr>
          <w:b w:val="1"/>
          <w:bCs w:val="1"/>
        </w:rPr>
        <w:t xml:space="preserve">resoluciones que autoricen el ejercicio de actividad privada tras el cese de altos cargos</w:t>
      </w:r>
      <w:r>
        <w:rPr/>
        <w:t xml:space="preserve">, </w:t>
      </w:r>
      <w:r>
        <w:rPr>
          <w:b w:val="1"/>
          <w:bCs w:val="1"/>
        </w:rPr>
        <w:t xml:space="preserve">no se ha dictado ninguna resolución</w:t>
      </w:r>
      <w:r>
        <w:rPr/>
        <w:t xml:space="preserve"> en los años </w:t>
      </w:r>
      <w:r>
        <w:rPr>
          <w:b w:val="1"/>
          <w:bCs w:val="1"/>
        </w:rPr>
        <w:t xml:space="preserve">2024</w:t>
      </w:r>
      <w:r>
        <w:rPr/>
        <w:t xml:space="preserve"> ni </w:t>
      </w:r>
      <w:r>
        <w:rPr>
          <w:b w:val="1"/>
          <w:bCs w:val="1"/>
        </w:rPr>
        <w:t xml:space="preserve">2025</w:t>
      </w:r>
      <w:r>
        <w:rPr/>
        <w:t xml:space="preserve">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2026-08-04T21:58:27+00:00</dcterms:created>
  <dcterms:modified xsi:type="dcterms:W3CDTF">2026-08-04T21:58:27+00:00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