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Firgas informa a la ciudadanía y al público en general que, durante los años </w:t>
      </w:r>
      <w:r>
        <w:rPr>
          <w:b w:val="1"/>
          <w:bCs w:val="1"/>
        </w:rPr>
        <w:t xml:space="preserve">2023, 2024 y 2025</w:t>
      </w:r>
      <w:r>
        <w:rPr/>
        <w:t xml:space="preserve">, </w:t>
      </w:r>
      <w:r>
        <w:rPr>
          <w:b w:val="1"/>
          <w:bCs w:val="1"/>
        </w:rPr>
        <w:t xml:space="preserve">no se han emitido ni remitido para su publicación</w:t>
      </w:r>
      <w:r>
        <w:rPr/>
        <w:t xml:space="preserve"> directrices, instrucciones, circulares o respuestas a consultas que tengan incidencia en los ciudadanos, que supongan una interpretación del Derecho o que produzcan efectos jurídicos.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2026-09-19T10:15:56+00:00</dcterms:created>
  <dcterms:modified xsi:type="dcterms:W3CDTF">2026-09-19T10:15:56+00:00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