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4800" w:type="dxa"/>
        <w:gridCol w:w="55200" w:type="dxa"/>
      </w:tblGrid>
      <w:tblPr>
        <w:tblW w:w="259050" w:type="pct"/>
        <w:tblLayout w:type="autofit"/>
        <w:bidiVisual w:val="0"/>
      </w:tblPr>
      <w:tr>
        <w:trPr>
          <w:tblHeader w:val="1"/>
        </w:trPr>
        <w:tc>
          <w:tcPr>
            <w:tcW w:w="444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55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44800" w:type="pct"/>
          </w:tcPr>
          <w:p>
            <w:pPr>
              <w:jc w:val="center"/>
            </w:pPr>
            <w:r>
              <w:rPr/>
              <w:t xml:space="preserve">Declaraciones de bienes de los concejales 2023-2027</w:t>
            </w:r>
          </w:p>
        </w:tc>
        <w:tc>
          <w:tcPr>
            <w:tcW w:w="552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2026-11-03T18:41:15+00:00</dcterms:created>
  <dcterms:modified xsi:type="dcterms:W3CDTF">2026-11-03T18:41:15+00:00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