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4800" w:type="dxa"/>
        <w:gridCol w:w="55200" w:type="dxa"/>
      </w:tblGrid>
      <w:tblPr>
        <w:tblW w:w="259050" w:type="pct"/>
        <w:tblLayout w:type="autofit"/>
        <w:bidiVisual w:val="0"/>
      </w:tblPr>
      <w:tr>
        <w:trPr>
          <w:tblHeader w:val="1"/>
        </w:trPr>
        <w:tc>
          <w:tcPr>
            <w:tcW w:w="444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55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44800" w:type="pct"/>
          </w:tcPr>
          <w:p>
            <w:pPr>
              <w:jc w:val="center"/>
            </w:pPr>
            <w:r>
              <w:rPr/>
              <w:t xml:space="preserve">Declaraciones de bienes de los concejales 2023-2027</w:t>
            </w:r>
          </w:p>
        </w:tc>
        <w:tc>
          <w:tcPr>
            <w:tcW w:w="552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2026-09-19T10:14:46+00:00</dcterms:created>
  <dcterms:modified xsi:type="dcterms:W3CDTF">2026-09-19T10:14:46+00:00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